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Default="00B71B54">
      <w:pPr>
        <w:autoSpaceDE/>
        <w:autoSpaceDN/>
        <w:adjustRightInd/>
        <w:spacing w:before="99" w:after="0" w:line="240" w:lineRule="auto"/>
        <w:ind w:right="-20"/>
        <w:rPr>
          <w:rFonts w:ascii="Times New Roman" w:eastAsia="Times New Roman" w:hAnsi="Times New Roman" w:cs="Times New Roman"/>
          <w:sz w:val="20"/>
          <w:szCs w:val="24"/>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2D632A">
      <w:pPr>
        <w:autoSpaceDE/>
        <w:autoSpaceDN/>
        <w:adjustRightInd/>
        <w:spacing w:before="4" w:after="0" w:line="170" w:lineRule="exact"/>
        <w:rPr>
          <w:rFonts w:eastAsia="Times New Roman" w:cs="Times New Roman"/>
          <w:sz w:val="17"/>
          <w:szCs w:val="24"/>
        </w:rPr>
      </w:pPr>
    </w:p>
    <w:p w:rsidR="00B2198E" w:rsidRPr="00714C36" w:rsidRDefault="00B71B54"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2D632A">
      <w:pPr>
        <w:autoSpaceDE/>
        <w:autoSpaceDN/>
        <w:adjustRightInd/>
        <w:spacing w:after="0" w:line="140" w:lineRule="exact"/>
        <w:rPr>
          <w:rFonts w:eastAsia="Times New Roman" w:cs="Times New Roman"/>
          <w:sz w:val="14"/>
          <w:szCs w:val="24"/>
        </w:rPr>
      </w:pPr>
    </w:p>
    <w:p w:rsidR="00B2198E" w:rsidRDefault="002D632A">
      <w:pPr>
        <w:autoSpaceDE/>
        <w:autoSpaceDN/>
        <w:adjustRightInd/>
        <w:spacing w:after="0" w:line="200" w:lineRule="exact"/>
        <w:rPr>
          <w:rFonts w:eastAsia="Times New Roman" w:cs="Times New Roman"/>
          <w:sz w:val="28"/>
          <w:szCs w:val="24"/>
        </w:rPr>
      </w:pPr>
    </w:p>
    <w:p w:rsidR="001D2D2A" w:rsidRDefault="00B71B54">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Fourth Quarter and Full Year </w:t>
      </w:r>
    </w:p>
    <w:p w:rsidR="00B2198E" w:rsidRDefault="00B71B54">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2014 Financial Results </w:t>
      </w:r>
    </w:p>
    <w:p w:rsidR="00B2198E" w:rsidRDefault="002D632A">
      <w:pPr>
        <w:autoSpaceDE/>
        <w:autoSpaceDN/>
        <w:adjustRightInd/>
        <w:spacing w:before="120" w:after="0" w:line="200" w:lineRule="exact"/>
        <w:jc w:val="center"/>
        <w:rPr>
          <w:rFonts w:ascii="Times New Roman" w:eastAsia="Times New Roman" w:hAnsi="Times New Roman" w:cs="Times New Roman"/>
          <w:b/>
          <w:sz w:val="28"/>
          <w:szCs w:val="24"/>
        </w:rPr>
      </w:pPr>
    </w:p>
    <w:p w:rsidR="00B2198E" w:rsidRPr="00990356" w:rsidRDefault="00B71B54" w:rsidP="00B2198E">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Pr>
          <w:rFonts w:ascii="Times New Roman" w:eastAsia="Times New Roman" w:hAnsi="Times New Roman" w:cs="Times New Roman"/>
          <w:b/>
        </w:rPr>
        <w:t>Mar</w:t>
      </w:r>
      <w:r w:rsidRPr="007D7E9B">
        <w:rPr>
          <w:rFonts w:ascii="Times New Roman" w:eastAsia="Times New Roman" w:hAnsi="Times New Roman" w:cs="Times New Roman"/>
          <w:b/>
        </w:rPr>
        <w:t>. 2,</w:t>
      </w:r>
      <w:r w:rsidRPr="004B7561">
        <w:rPr>
          <w:rFonts w:ascii="Times New Roman" w:eastAsia="Times New Roman" w:hAnsi="Times New Roman" w:cs="Times New Roman"/>
          <w:b/>
        </w:rPr>
        <w:t xml:space="preserve"> 201</w:t>
      </w:r>
      <w:r>
        <w:rPr>
          <w:rFonts w:ascii="Times New Roman" w:eastAsia="Times New Roman" w:hAnsi="Times New Roman" w:cs="Times New Roman"/>
          <w:b/>
        </w:rPr>
        <w:t>5</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dev</w:t>
      </w:r>
      <w:r w:rsidRPr="00A83034">
        <w:rPr>
          <w:rFonts w:ascii="Times New Roman" w:eastAsia="Times New Roman" w:hAnsi="Times New Roman" w:cs="Times New Roman"/>
          <w:spacing w:val="-1"/>
        </w:rPr>
        <w:t>e</w:t>
      </w:r>
      <w:r w:rsidRPr="00A83034">
        <w:rPr>
          <w:rFonts w:ascii="Times New Roman" w:eastAsia="Times New Roman" w:hAnsi="Times New Roman" w:cs="Times New Roman"/>
        </w:rPr>
        <w:t>lo</w:t>
      </w:r>
      <w:r w:rsidRPr="00A83034">
        <w:rPr>
          <w:rFonts w:ascii="Times New Roman" w:eastAsia="Times New Roman" w:hAnsi="Times New Roman" w:cs="Times New Roman"/>
          <w:spacing w:val="-1"/>
        </w:rPr>
        <w:t>p</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ent</w:t>
      </w:r>
      <w:r w:rsidRPr="00A83034">
        <w:rPr>
          <w:rFonts w:ascii="Times New Roman" w:eastAsia="Times New Roman" w:hAnsi="Times New Roman" w:cs="Times New Roman"/>
          <w:spacing w:val="2"/>
        </w:rPr>
        <w:t xml:space="preserve"> </w:t>
      </w:r>
      <w:r w:rsidRPr="00A83034">
        <w:rPr>
          <w:rFonts w:ascii="Times New Roman" w:eastAsia="Times New Roman" w:hAnsi="Times New Roman" w:cs="Times New Roman"/>
        </w:rPr>
        <w:t>st</w:t>
      </w:r>
      <w:r w:rsidRPr="00A83034">
        <w:rPr>
          <w:rFonts w:ascii="Times New Roman" w:eastAsia="Times New Roman" w:hAnsi="Times New Roman" w:cs="Times New Roman"/>
          <w:spacing w:val="1"/>
        </w:rPr>
        <w:t>a</w:t>
      </w:r>
      <w:r w:rsidRPr="00A83034">
        <w:rPr>
          <w:rFonts w:ascii="Times New Roman" w:eastAsia="Times New Roman" w:hAnsi="Times New Roman" w:cs="Times New Roman"/>
        </w:rPr>
        <w:t>ge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fourth quarter and year ended December 31, 2014</w:t>
      </w:r>
      <w:r w:rsidRPr="00990356">
        <w:rPr>
          <w:rFonts w:ascii="Times New Roman" w:eastAsia="Times New Roman" w:hAnsi="Times New Roman" w:cs="Times New Roman"/>
          <w:lang w:val="en-GB"/>
        </w:rPr>
        <w:t>.</w:t>
      </w:r>
    </w:p>
    <w:p w:rsidR="00B2198E" w:rsidRDefault="002D632A" w:rsidP="00B2198E">
      <w:pPr>
        <w:autoSpaceDE/>
        <w:autoSpaceDN/>
        <w:adjustRightInd/>
        <w:spacing w:after="0" w:line="230" w:lineRule="auto"/>
        <w:ind w:right="53"/>
        <w:jc w:val="both"/>
        <w:rPr>
          <w:rFonts w:ascii="Times New Roman" w:eastAsia="Times New Roman" w:hAnsi="Times New Roman" w:cs="Times New Roman"/>
        </w:rPr>
      </w:pPr>
    </w:p>
    <w:p w:rsidR="00B2198E" w:rsidRDefault="00B71B54" w:rsidP="00B2198E">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fourth </w:t>
      </w:r>
      <w:r w:rsidRPr="000D108B">
        <w:rPr>
          <w:rFonts w:ascii="Times New Roman" w:eastAsia="Times New Roman" w:hAnsi="Times New Roman" w:cs="Times New Roman"/>
        </w:rPr>
        <w:t xml:space="preserve">quarter </w:t>
      </w:r>
      <w:r>
        <w:rPr>
          <w:rFonts w:ascii="Times New Roman" w:eastAsia="Times New Roman" w:hAnsi="Times New Roman" w:cs="Times New Roman"/>
        </w:rPr>
        <w:t>and full year</w:t>
      </w:r>
      <w:r>
        <w:rPr>
          <w:rFonts w:ascii="Times New Roman" w:eastAsia="Times New Roman" w:hAnsi="Times New Roman" w:cs="Times New Roman"/>
          <w:lang w:val="en-GB"/>
        </w:rPr>
        <w:t xml:space="preserve"> 2014</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fourth</w:t>
      </w:r>
      <w:r w:rsidRPr="000D108B">
        <w:rPr>
          <w:rFonts w:ascii="Times New Roman" w:eastAsia="Times New Roman" w:hAnsi="Times New Roman" w:cs="Times New Roman"/>
        </w:rPr>
        <w:t xml:space="preserve"> quarter </w:t>
      </w:r>
      <w:r>
        <w:rPr>
          <w:rFonts w:ascii="Times New Roman" w:eastAsia="Times New Roman" w:hAnsi="Times New Roman" w:cs="Times New Roman"/>
        </w:rPr>
        <w:t>and full year</w:t>
      </w:r>
      <w:r>
        <w:rPr>
          <w:rFonts w:ascii="Times New Roman" w:eastAsia="Times New Roman" w:hAnsi="Times New Roman" w:cs="Times New Roman"/>
          <w:lang w:val="en-GB"/>
        </w:rPr>
        <w:t xml:space="preserve"> 2013, respectively</w:t>
      </w:r>
      <w:r w:rsidRPr="000D108B">
        <w:rPr>
          <w:rFonts w:ascii="Times New Roman" w:eastAsia="Times New Roman" w:hAnsi="Times New Roman" w:cs="Times New Roman"/>
        </w:rPr>
        <w:t>.</w:t>
      </w:r>
    </w:p>
    <w:p w:rsidR="00B2198E" w:rsidRPr="000D108B" w:rsidRDefault="002D632A" w:rsidP="00B2198E">
      <w:pPr>
        <w:autoSpaceDE/>
        <w:autoSpaceDN/>
        <w:adjustRightInd/>
        <w:spacing w:after="0" w:line="230" w:lineRule="auto"/>
        <w:ind w:right="53"/>
        <w:jc w:val="both"/>
        <w:rPr>
          <w:rFonts w:ascii="Times New Roman" w:eastAsia="Times New Roman" w:hAnsi="Times New Roman" w:cs="Times New Roman"/>
        </w:rPr>
      </w:pPr>
    </w:p>
    <w:p w:rsidR="00B2198E" w:rsidRDefault="00B71B54" w:rsidP="00B2198E">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$47.5 million, or $1.57 per share, for the fourth quarter of 2014, compared to a net loss of $15.9 million, or $0.55 per share, for the fourth quarter of 2013.  Net loss applicable to common stock for the full year 2014 was $142.0 million, or $4.73 per share, compared to $54.</w:t>
      </w:r>
      <w:r w:rsidR="006624E9">
        <w:rPr>
          <w:rFonts w:ascii="Times New Roman" w:eastAsia="Times New Roman" w:hAnsi="Times New Roman" w:cs="Times New Roman"/>
          <w:lang w:val="en-GB"/>
        </w:rPr>
        <w:t>6</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$1.90</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per share, for the full year 2013.  </w:t>
      </w:r>
    </w:p>
    <w:p w:rsidR="004228B9" w:rsidRDefault="002D632A" w:rsidP="00B2198E">
      <w:pPr>
        <w:autoSpaceDE/>
        <w:adjustRightInd/>
        <w:spacing w:after="0" w:line="228" w:lineRule="auto"/>
        <w:ind w:right="53"/>
        <w:jc w:val="both"/>
        <w:rPr>
          <w:rFonts w:ascii="Times New Roman" w:eastAsia="Times New Roman" w:hAnsi="Times New Roman" w:cs="Times New Roman"/>
        </w:rPr>
      </w:pPr>
    </w:p>
    <w:p w:rsidR="00B2198E" w:rsidRPr="007506F3" w:rsidRDefault="00B71B54"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Adjusted net loss applicable to common stock was $31.1 million, or $1.03 per share, for the fourth quarter of 2014, compared to adjusted net loss applicable to common stock of $12.8</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$0.45 per share, for the fourth quarter of 2013.  Adjusted n</w:t>
      </w:r>
      <w:r w:rsidRPr="007506F3">
        <w:rPr>
          <w:rFonts w:ascii="Times New Roman" w:eastAsia="Times New Roman" w:hAnsi="Times New Roman" w:cs="Times New Roman"/>
          <w:lang w:val="en-GB"/>
        </w:rPr>
        <w:t xml:space="preserve">et loss applicable to common stock for the </w:t>
      </w:r>
      <w:r>
        <w:rPr>
          <w:rFonts w:ascii="Times New Roman" w:eastAsia="Times New Roman" w:hAnsi="Times New Roman" w:cs="Times New Roman"/>
          <w:lang w:val="en-GB"/>
        </w:rPr>
        <w:t>full year 2014</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$102.8 million, or $3.43</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$47.1</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or $1.64 per share, for the full year 2013.  </w:t>
      </w:r>
      <w:r w:rsidRPr="00445E9B">
        <w:rPr>
          <w:rFonts w:ascii="Times New Roman" w:eastAsia="Times New Roman" w:hAnsi="Times New Roman" w:cs="Times New Roman"/>
          <w:lang w:val="en-GB"/>
        </w:rPr>
        <w:t>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applicable to common stock excludes stock-based compensation expense, which represents a significant portion of overall expense and has no impact on the cash position of the Company.  For a reconciliation of adjusted net loss applicable to common stock to reported net loss applicable to common stock, please see the financial tables at the end of this news release.</w:t>
      </w:r>
      <w:r>
        <w:rPr>
          <w:rFonts w:ascii="Times New Roman" w:eastAsia="Times New Roman" w:hAnsi="Times New Roman" w:cs="Times New Roman"/>
        </w:rPr>
        <w:t xml:space="preserve">  </w:t>
      </w:r>
    </w:p>
    <w:p w:rsidR="00B2198E" w:rsidRDefault="002D632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B71B54" w:rsidP="00B2198E">
      <w:pPr>
        <w:autoSpaceDE/>
        <w:autoSpaceDN/>
        <w:adjustRightInd/>
        <w:spacing w:after="0" w:line="230" w:lineRule="auto"/>
        <w:ind w:right="53"/>
        <w:jc w:val="both"/>
        <w:rPr>
          <w:rFonts w:ascii="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fourth quarter of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18.5</w:t>
      </w:r>
      <w:r w:rsidRPr="00632DA7">
        <w:rPr>
          <w:rFonts w:ascii="Times New Roman" w:eastAsia="Times New Roman" w:hAnsi="Times New Roman" w:cs="Times New Roman"/>
          <w:lang w:val="en-GB"/>
        </w:rPr>
        <w:t xml:space="preserve"> million. Net cash used in operating activities for the </w:t>
      </w:r>
      <w:r>
        <w:rPr>
          <w:rFonts w:ascii="Times New Roman" w:eastAsia="Times New Roman" w:hAnsi="Times New Roman" w:cs="Times New Roman"/>
          <w:lang w:val="en-GB"/>
        </w:rPr>
        <w:t>full year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77.2 million.  At December 31, 2014</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$38.5</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$102.8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43.0 million and marketable securities of $40.9 million at December 31, 2013</w:t>
      </w:r>
      <w:r w:rsidRPr="00A2029B">
        <w:rPr>
          <w:rFonts w:ascii="Times New Roman" w:eastAsia="Times New Roman" w:hAnsi="Times New Roman" w:cs="Times New Roman"/>
          <w:lang w:val="en-GB"/>
        </w:rPr>
        <w:t xml:space="preserve">. </w:t>
      </w:r>
    </w:p>
    <w:p w:rsidR="001C1B34" w:rsidRDefault="002D632A" w:rsidP="00B2198E">
      <w:pPr>
        <w:autoSpaceDE/>
        <w:autoSpaceDN/>
        <w:adjustRightInd/>
        <w:spacing w:after="0" w:line="230" w:lineRule="auto"/>
        <w:ind w:right="53"/>
        <w:jc w:val="both"/>
        <w:rPr>
          <w:rFonts w:ascii="Times New Roman" w:hAnsi="Times New Roman" w:cs="Times New Roman"/>
        </w:rPr>
      </w:pPr>
    </w:p>
    <w:p w:rsidR="00FC12D0" w:rsidRDefault="00B71B54" w:rsidP="00B2198E">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hAnsi="Times New Roman" w:cs="Times New Roman"/>
        </w:rPr>
        <w:t xml:space="preserve">“2014 was another year of significant clinical advancement of PB272 as we achieved several clinical milestones,” said Alan H. Auerbach, Chairman, Chief Executive Officer and President of Puma. “These clinical milestones relate to a number of different potential indications for </w:t>
      </w:r>
      <w:proofErr w:type="spellStart"/>
      <w:r>
        <w:rPr>
          <w:rFonts w:ascii="Times New Roman" w:hAnsi="Times New Roman" w:cs="Times New Roman"/>
        </w:rPr>
        <w:t>neratinib</w:t>
      </w:r>
      <w:proofErr w:type="spellEnd"/>
      <w:r>
        <w:rPr>
          <w:rFonts w:ascii="Times New Roman" w:hAnsi="Times New Roman" w:cs="Times New Roman"/>
        </w:rPr>
        <w:t xml:space="preserve">, including extended adjuvant early stage HER2-positive breast cancer (based on the positive top line results from the </w:t>
      </w:r>
      <w:proofErr w:type="spellStart"/>
      <w:r>
        <w:rPr>
          <w:rFonts w:ascii="Times New Roman" w:hAnsi="Times New Roman" w:cs="Times New Roman"/>
        </w:rPr>
        <w:t>ExteNET</w:t>
      </w:r>
      <w:proofErr w:type="spellEnd"/>
      <w:r>
        <w:rPr>
          <w:rFonts w:ascii="Times New Roman" w:hAnsi="Times New Roman" w:cs="Times New Roman"/>
        </w:rPr>
        <w:t xml:space="preserve"> trial); </w:t>
      </w:r>
      <w:proofErr w:type="spellStart"/>
      <w:r>
        <w:rPr>
          <w:rFonts w:ascii="Times New Roman" w:hAnsi="Times New Roman" w:cs="Times New Roman"/>
        </w:rPr>
        <w:t>neoadjuvant</w:t>
      </w:r>
      <w:proofErr w:type="spellEnd"/>
      <w:r>
        <w:rPr>
          <w:rFonts w:ascii="Times New Roman" w:hAnsi="Times New Roman" w:cs="Times New Roman"/>
        </w:rPr>
        <w:t xml:space="preserve"> HER2-positive early stage breast cancer (based on the positive results from the I-SPY2 Phase II trial); HER2-positive locally recurrent or metastatic breast cancer (based on the </w:t>
      </w:r>
      <w:proofErr w:type="spellStart"/>
      <w:r>
        <w:rPr>
          <w:rFonts w:ascii="Times New Roman" w:hAnsi="Times New Roman" w:cs="Times New Roman"/>
        </w:rPr>
        <w:t>NEfERTT</w:t>
      </w:r>
      <w:proofErr w:type="spellEnd"/>
      <w:r>
        <w:rPr>
          <w:rFonts w:ascii="Times New Roman" w:hAnsi="Times New Roman" w:cs="Times New Roman"/>
        </w:rPr>
        <w:t xml:space="preserve"> Phase II trial); and HER2-mutated solid tumors (based on data on HER2-mutated breast cancer and the expansion of the basket trial).  In addition, we were pleased during 2014 to report data from several trials that demonstrated that the use of high dose </w:t>
      </w:r>
      <w:proofErr w:type="spellStart"/>
      <w:r>
        <w:rPr>
          <w:rFonts w:ascii="Times New Roman" w:hAnsi="Times New Roman" w:cs="Times New Roman"/>
        </w:rPr>
        <w:t>loperamide</w:t>
      </w:r>
      <w:proofErr w:type="spellEnd"/>
      <w:r>
        <w:rPr>
          <w:rFonts w:ascii="Times New Roman" w:hAnsi="Times New Roman" w:cs="Times New Roman"/>
        </w:rPr>
        <w:t xml:space="preserve"> prophylaxis reduce</w:t>
      </w:r>
      <w:r w:rsidR="00A13E29">
        <w:rPr>
          <w:rFonts w:ascii="Times New Roman" w:hAnsi="Times New Roman" w:cs="Times New Roman"/>
        </w:rPr>
        <w:t>d</w:t>
      </w:r>
      <w:r>
        <w:rPr>
          <w:rFonts w:ascii="Times New Roman" w:hAnsi="Times New Roman" w:cs="Times New Roman"/>
        </w:rPr>
        <w:t xml:space="preserve"> the </w:t>
      </w:r>
      <w:proofErr w:type="spellStart"/>
      <w:r>
        <w:rPr>
          <w:rFonts w:ascii="Times New Roman" w:hAnsi="Times New Roman" w:cs="Times New Roman"/>
        </w:rPr>
        <w:t>neratinib</w:t>
      </w:r>
      <w:proofErr w:type="spellEnd"/>
      <w:r>
        <w:rPr>
          <w:rFonts w:ascii="Times New Roman" w:hAnsi="Times New Roman" w:cs="Times New Roman"/>
        </w:rPr>
        <w:t xml:space="preserve">-related diarrhea and greatly improve the tolerability profile of the drug. </w:t>
      </w:r>
    </w:p>
    <w:p w:rsidR="009675D7" w:rsidRDefault="002D632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B71B54" w:rsidP="00B2198E">
      <w:pPr>
        <w:autoSpaceDE/>
        <w:autoSpaceDN/>
        <w:adjustRightInd/>
        <w:spacing w:after="0" w:line="230" w:lineRule="auto"/>
        <w:ind w:right="53"/>
        <w:jc w:val="both"/>
        <w:rPr>
          <w:rFonts w:ascii="Times New Roman" w:hAnsi="Times New Roman" w:cs="Times New Roman"/>
        </w:rPr>
      </w:pPr>
      <w:r>
        <w:rPr>
          <w:rFonts w:ascii="Times New Roman" w:eastAsia="Times New Roman" w:hAnsi="Times New Roman" w:cs="Times New Roman"/>
          <w:lang w:val="en-GB"/>
        </w:rPr>
        <w:t xml:space="preserve">“We expect our research productivity to continue </w:t>
      </w:r>
      <w:r w:rsidRPr="009675D7">
        <w:rPr>
          <w:rFonts w:ascii="Times New Roman" w:eastAsia="Times New Roman" w:hAnsi="Times New Roman" w:cs="Times New Roman"/>
          <w:lang w:val="en-GB"/>
        </w:rPr>
        <w:t>in 2015. In 2015, we expect to</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w:t>
      </w:r>
      <w:proofErr w:type="spellEnd"/>
      <w:r>
        <w:rPr>
          <w:rFonts w:ascii="Times New Roman" w:eastAsia="Times New Roman" w:hAnsi="Times New Roman" w:cs="Times New Roman"/>
          <w:lang w:val="en-GB"/>
        </w:rPr>
        <w:t xml:space="preserve">) present and publish the Phase III </w:t>
      </w:r>
      <w:proofErr w:type="spellStart"/>
      <w:r>
        <w:rPr>
          <w:rFonts w:ascii="Times New Roman" w:eastAsia="Times New Roman" w:hAnsi="Times New Roman" w:cs="Times New Roman"/>
          <w:lang w:val="en-GB"/>
        </w:rPr>
        <w:t>ExteNET</w:t>
      </w:r>
      <w:proofErr w:type="spellEnd"/>
      <w:r>
        <w:rPr>
          <w:rFonts w:ascii="Times New Roman" w:eastAsia="Times New Roman" w:hAnsi="Times New Roman" w:cs="Times New Roman"/>
          <w:lang w:val="en-GB"/>
        </w:rPr>
        <w:t xml:space="preserve"> trial results of PB272 in the extended adjuvant treatment of early stage HER2-positive breast cancer (anticipated in mid-2015); (ii) present and publish the Phase II </w:t>
      </w:r>
      <w:proofErr w:type="spellStart"/>
      <w:r>
        <w:rPr>
          <w:rFonts w:ascii="Times New Roman" w:eastAsia="Times New Roman" w:hAnsi="Times New Roman" w:cs="Times New Roman"/>
          <w:lang w:val="en-GB"/>
        </w:rPr>
        <w:t>NEfERTT</w:t>
      </w:r>
      <w:proofErr w:type="spellEnd"/>
      <w:r>
        <w:rPr>
          <w:rFonts w:ascii="Times New Roman" w:eastAsia="Times New Roman" w:hAnsi="Times New Roman" w:cs="Times New Roman"/>
          <w:lang w:val="en-GB"/>
        </w:rPr>
        <w:t xml:space="preserve"> trial results of PB272 as a </w:t>
      </w:r>
      <w:r w:rsidRPr="000D0620">
        <w:rPr>
          <w:rFonts w:ascii="Times New Roman" w:eastAsia="Times New Roman" w:hAnsi="Times New Roman" w:cs="Times New Roman"/>
          <w:lang w:val="en-GB"/>
        </w:rPr>
        <w:t xml:space="preserve">first-line treatment for HER2-positive </w:t>
      </w:r>
      <w:r>
        <w:rPr>
          <w:rFonts w:ascii="Times New Roman" w:hAnsi="Times New Roman" w:cs="Times New Roman"/>
        </w:rPr>
        <w:t xml:space="preserve">locally recurrent or </w:t>
      </w:r>
      <w:r w:rsidRPr="000D0620">
        <w:rPr>
          <w:rFonts w:ascii="Times New Roman" w:eastAsia="Times New Roman" w:hAnsi="Times New Roman" w:cs="Times New Roman"/>
          <w:lang w:val="en-GB"/>
        </w:rPr>
        <w:t xml:space="preserve">metastatic breast cancer </w:t>
      </w:r>
      <w:r>
        <w:rPr>
          <w:rFonts w:ascii="Times New Roman" w:eastAsia="Times New Roman" w:hAnsi="Times New Roman" w:cs="Times New Roman"/>
          <w:lang w:val="en-GB"/>
        </w:rPr>
        <w:t xml:space="preserve">(anticipated in mid-2015); (iii) </w:t>
      </w:r>
      <w:r w:rsidRPr="004B241D">
        <w:rPr>
          <w:rFonts w:ascii="Times New Roman" w:eastAsia="Times New Roman" w:hAnsi="Times New Roman" w:cs="Times New Roman"/>
          <w:lang w:val="en-GB"/>
        </w:rPr>
        <w:t xml:space="preserve">complete our ongoing Phase II </w:t>
      </w:r>
      <w:r>
        <w:rPr>
          <w:rFonts w:ascii="Times New Roman" w:eastAsia="Times New Roman" w:hAnsi="Times New Roman" w:cs="Times New Roman"/>
          <w:lang w:val="en-GB"/>
        </w:rPr>
        <w:t xml:space="preserve">FB-7 </w:t>
      </w:r>
      <w:r w:rsidRPr="004B241D">
        <w:rPr>
          <w:rFonts w:ascii="Times New Roman" w:eastAsia="Times New Roman" w:hAnsi="Times New Roman" w:cs="Times New Roman"/>
          <w:lang w:val="en-GB"/>
        </w:rPr>
        <w:t xml:space="preserve">trial of PB272 as a </w:t>
      </w:r>
      <w:proofErr w:type="spellStart"/>
      <w:r w:rsidRPr="004B241D">
        <w:rPr>
          <w:rFonts w:ascii="Times New Roman" w:eastAsia="Times New Roman" w:hAnsi="Times New Roman" w:cs="Times New Roman"/>
          <w:lang w:val="en-GB"/>
        </w:rPr>
        <w:t>neoadjuvant</w:t>
      </w:r>
      <w:proofErr w:type="spellEnd"/>
      <w:r w:rsidRPr="004B241D">
        <w:rPr>
          <w:rFonts w:ascii="Times New Roman" w:eastAsia="Times New Roman" w:hAnsi="Times New Roman" w:cs="Times New Roman"/>
          <w:lang w:val="en-GB"/>
        </w:rPr>
        <w:t xml:space="preserve"> treatment for patients with HER2-posi</w:t>
      </w:r>
      <w:r>
        <w:rPr>
          <w:rFonts w:ascii="Times New Roman" w:eastAsia="Times New Roman" w:hAnsi="Times New Roman" w:cs="Times New Roman"/>
          <w:lang w:val="en-GB"/>
        </w:rPr>
        <w:t>tive breast cancer (anticipated in the first half of 2015);</w:t>
      </w:r>
      <w:r w:rsidRPr="004B241D">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Pr="00382A00">
        <w:rPr>
          <w:rFonts w:ascii="Times New Roman" w:eastAsia="Times New Roman" w:hAnsi="Times New Roman" w:cs="Times New Roman"/>
          <w:lang w:val="en-GB"/>
        </w:rPr>
        <w:t>i</w:t>
      </w:r>
      <w:r>
        <w:rPr>
          <w:rFonts w:ascii="Times New Roman" w:eastAsia="Times New Roman" w:hAnsi="Times New Roman" w:cs="Times New Roman"/>
          <w:lang w:val="en-GB"/>
        </w:rPr>
        <w:t>v</w:t>
      </w:r>
      <w:r w:rsidRPr="00382A00">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initiate our Phase II trial of </w:t>
      </w:r>
      <w:proofErr w:type="spellStart"/>
      <w:r>
        <w:rPr>
          <w:rFonts w:ascii="Times New Roman" w:eastAsia="Times New Roman" w:hAnsi="Times New Roman" w:cs="Times New Roman"/>
          <w:lang w:val="en-GB"/>
        </w:rPr>
        <w:t>neratinib</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lang w:val="en-GB"/>
        </w:rPr>
        <w:lastRenderedPageBreak/>
        <w:t xml:space="preserve">monotherapy with high dose </w:t>
      </w:r>
      <w:proofErr w:type="spellStart"/>
      <w:r>
        <w:rPr>
          <w:rFonts w:ascii="Times New Roman" w:eastAsia="Times New Roman" w:hAnsi="Times New Roman" w:cs="Times New Roman"/>
          <w:lang w:val="en-GB"/>
        </w:rPr>
        <w:t>loperamide</w:t>
      </w:r>
      <w:proofErr w:type="spellEnd"/>
      <w:r>
        <w:rPr>
          <w:rFonts w:ascii="Times New Roman" w:eastAsia="Times New Roman" w:hAnsi="Times New Roman" w:cs="Times New Roman"/>
          <w:lang w:val="en-GB"/>
        </w:rPr>
        <w:t xml:space="preserve"> prophylaxis </w:t>
      </w:r>
      <w:r w:rsidRPr="000D0620">
        <w:rPr>
          <w:rFonts w:ascii="Times New Roman" w:eastAsia="Times New Roman" w:hAnsi="Times New Roman" w:cs="Times New Roman"/>
          <w:lang w:val="en-GB"/>
        </w:rPr>
        <w:t>in the extended adjuvant treatment of early stage HER2</w:t>
      </w:r>
      <w:r>
        <w:rPr>
          <w:rFonts w:ascii="Times New Roman" w:eastAsia="Times New Roman" w:hAnsi="Times New Roman" w:cs="Times New Roman"/>
          <w:lang w:val="en-GB"/>
        </w:rPr>
        <w:t>-</w:t>
      </w:r>
      <w:r w:rsidRPr="000D0620">
        <w:rPr>
          <w:rFonts w:ascii="Times New Roman" w:eastAsia="Times New Roman" w:hAnsi="Times New Roman" w:cs="Times New Roman"/>
          <w:lang w:val="en-GB"/>
        </w:rPr>
        <w:t xml:space="preserve">positive breast cancer </w:t>
      </w:r>
      <w:r>
        <w:rPr>
          <w:rFonts w:ascii="Times New Roman" w:eastAsia="Times New Roman" w:hAnsi="Times New Roman" w:cs="Times New Roman"/>
          <w:lang w:val="en-GB"/>
        </w:rPr>
        <w:t xml:space="preserve">(anticipated in the first </w:t>
      </w:r>
      <w:r w:rsidR="00DC03AE">
        <w:rPr>
          <w:rFonts w:ascii="Times New Roman" w:eastAsia="Times New Roman" w:hAnsi="Times New Roman" w:cs="Times New Roman"/>
          <w:lang w:val="en-GB"/>
        </w:rPr>
        <w:t>quarter</w:t>
      </w:r>
      <w:r>
        <w:rPr>
          <w:rFonts w:ascii="Times New Roman" w:eastAsia="Times New Roman" w:hAnsi="Times New Roman" w:cs="Times New Roman"/>
          <w:lang w:val="en-GB"/>
        </w:rPr>
        <w:t xml:space="preserve"> of 2015); (v) expand additional cohorts in </w:t>
      </w:r>
      <w:r w:rsidRPr="000D0620">
        <w:rPr>
          <w:rFonts w:ascii="Times New Roman" w:eastAsia="Times New Roman" w:hAnsi="Times New Roman" w:cs="Times New Roman"/>
        </w:rPr>
        <w:t>our Phase II basket trial of PB272 in patients with solid tumors with an activating HER2</w:t>
      </w:r>
      <w:r>
        <w:rPr>
          <w:rFonts w:ascii="Times New Roman" w:eastAsia="Times New Roman" w:hAnsi="Times New Roman" w:cs="Times New Roman"/>
        </w:rPr>
        <w:t>-</w:t>
      </w:r>
      <w:r w:rsidRPr="000D0620">
        <w:rPr>
          <w:rFonts w:ascii="Times New Roman" w:eastAsia="Times New Roman" w:hAnsi="Times New Roman" w:cs="Times New Roman"/>
        </w:rPr>
        <w:t>mutation</w:t>
      </w:r>
      <w:r>
        <w:rPr>
          <w:rFonts w:ascii="Times New Roman" w:eastAsia="Times New Roman" w:hAnsi="Times New Roman" w:cs="Times New Roman"/>
        </w:rPr>
        <w:t xml:space="preserve"> (anticipated in the first half of 2015); </w:t>
      </w:r>
      <w:r>
        <w:rPr>
          <w:rFonts w:ascii="Times New Roman" w:hAnsi="Times New Roman" w:cs="Times New Roman"/>
        </w:rPr>
        <w:t>(vi</w:t>
      </w:r>
      <w:r w:rsidRPr="009675D7">
        <w:rPr>
          <w:rFonts w:ascii="Times New Roman" w:hAnsi="Times New Roman" w:cs="Times New Roman"/>
        </w:rPr>
        <w:t>) complete the ongoing Phase II trial of PB272 in patients with HER2-positive metastatic breast cancer that has metastasized to the brain, with the poten</w:t>
      </w:r>
      <w:r>
        <w:rPr>
          <w:rFonts w:ascii="Times New Roman" w:hAnsi="Times New Roman" w:cs="Times New Roman"/>
        </w:rPr>
        <w:t>tial to report data in the second half of 2015; (vii</w:t>
      </w:r>
      <w:r w:rsidRPr="009675D7">
        <w:rPr>
          <w:rFonts w:ascii="Times New Roman" w:hAnsi="Times New Roman" w:cs="Times New Roman"/>
        </w:rPr>
        <w:t xml:space="preserve">) </w:t>
      </w:r>
      <w:r>
        <w:rPr>
          <w:rFonts w:ascii="Times New Roman" w:hAnsi="Times New Roman" w:cs="Times New Roman"/>
        </w:rPr>
        <w:t xml:space="preserve">report data from </w:t>
      </w:r>
      <w:r w:rsidRPr="009675D7">
        <w:rPr>
          <w:rFonts w:ascii="Times New Roman" w:hAnsi="Times New Roman" w:cs="Times New Roman"/>
        </w:rPr>
        <w:t>our Phase II trial of PB272 in HER2-negative breast cancer patients who have a HER2</w:t>
      </w:r>
      <w:r w:rsidR="009D1030">
        <w:rPr>
          <w:rFonts w:ascii="Times New Roman" w:hAnsi="Times New Roman" w:cs="Times New Roman"/>
        </w:rPr>
        <w:t xml:space="preserve"> </w:t>
      </w:r>
      <w:r w:rsidRPr="009675D7">
        <w:rPr>
          <w:rFonts w:ascii="Times New Roman" w:hAnsi="Times New Roman" w:cs="Times New Roman"/>
        </w:rPr>
        <w:t>mutation</w:t>
      </w:r>
      <w:r>
        <w:rPr>
          <w:rFonts w:ascii="Times New Roman" w:hAnsi="Times New Roman" w:cs="Times New Roman"/>
        </w:rPr>
        <w:t xml:space="preserve"> (anticipated in the second half of 2015); and (</w:t>
      </w:r>
      <w:r w:rsidRPr="000D0620">
        <w:rPr>
          <w:rFonts w:ascii="Times New Roman" w:hAnsi="Times New Roman" w:cs="Times New Roman"/>
        </w:rPr>
        <w:t>v</w:t>
      </w:r>
      <w:r>
        <w:rPr>
          <w:rFonts w:ascii="Times New Roman" w:hAnsi="Times New Roman" w:cs="Times New Roman"/>
        </w:rPr>
        <w:t>iii</w:t>
      </w:r>
      <w:r w:rsidRPr="000D0620">
        <w:rPr>
          <w:rFonts w:ascii="Times New Roman" w:hAnsi="Times New Roman" w:cs="Times New Roman"/>
        </w:rPr>
        <w:t xml:space="preserve">) initiate a Phase III trial of the combination of PB272 plus </w:t>
      </w:r>
      <w:proofErr w:type="spellStart"/>
      <w:r w:rsidRPr="000D0620">
        <w:rPr>
          <w:rFonts w:ascii="Times New Roman" w:hAnsi="Times New Roman" w:cs="Times New Roman"/>
        </w:rPr>
        <w:t>temsirolimus</w:t>
      </w:r>
      <w:proofErr w:type="spellEnd"/>
      <w:r>
        <w:rPr>
          <w:rFonts w:ascii="Times New Roman" w:hAnsi="Times New Roman" w:cs="Times New Roman"/>
        </w:rPr>
        <w:t xml:space="preserve"> in fourth line HER2</w:t>
      </w:r>
      <w:r w:rsidR="006624E9">
        <w:rPr>
          <w:rFonts w:ascii="Times New Roman" w:hAnsi="Times New Roman" w:cs="Times New Roman"/>
        </w:rPr>
        <w:t>-</w:t>
      </w:r>
      <w:r>
        <w:rPr>
          <w:rFonts w:ascii="Times New Roman" w:hAnsi="Times New Roman" w:cs="Times New Roman"/>
        </w:rPr>
        <w:t>positive metastatic breast cancer (anticipated in the second half of 2015).”</w:t>
      </w:r>
    </w:p>
    <w:p w:rsidR="004B241D" w:rsidRDefault="002D632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341614" w:rsidRDefault="00B71B54" w:rsidP="00B2198E">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2198E" w:rsidRDefault="002D632A" w:rsidP="00B2198E">
      <w:pPr>
        <w:widowControl/>
        <w:autoSpaceDE/>
        <w:autoSpaceDN/>
        <w:adjustRightInd/>
        <w:spacing w:after="0" w:line="240" w:lineRule="auto"/>
        <w:rPr>
          <w:rFonts w:ascii="Times New Roman" w:eastAsia="Times New Roman" w:hAnsi="Times New Roman" w:cs="Times New Roman"/>
          <w:lang w:val="en-GB"/>
        </w:rPr>
      </w:pPr>
    </w:p>
    <w:p w:rsidR="00B2198E" w:rsidRDefault="00B71B54" w:rsidP="00B2198E">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47.6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16.0</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full year 2014</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were $142.3 million, compared to $54.8</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for the full year 2013.</w:t>
      </w:r>
    </w:p>
    <w:p w:rsidR="00B2198E" w:rsidRDefault="002D632A" w:rsidP="00B2198E">
      <w:pPr>
        <w:widowControl/>
        <w:autoSpaceDE/>
        <w:autoSpaceDN/>
        <w:adjustRightInd/>
        <w:spacing w:after="0" w:line="240" w:lineRule="auto"/>
        <w:rPr>
          <w:rFonts w:ascii="Times New Roman" w:eastAsia="Times New Roman" w:hAnsi="Times New Roman" w:cs="Times New Roman"/>
          <w:lang w:val="en-GB"/>
        </w:rPr>
      </w:pPr>
    </w:p>
    <w:p w:rsidR="00B2198E" w:rsidRPr="00D83CB0" w:rsidRDefault="00B71B54"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2198E" w:rsidRDefault="002D632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B71B54" w:rsidP="00B2198E">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and administrative expenses were $</w:t>
      </w:r>
      <w:r>
        <w:rPr>
          <w:rFonts w:ascii="Times New Roman" w:eastAsia="Times New Roman" w:hAnsi="Times New Roman" w:cs="Times New Roman"/>
          <w:lang w:val="en-GB"/>
        </w:rPr>
        <w:t>8.1</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3.0</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fourth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for the full year 2014</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$19.4 million, compared to $9.8 million for the full year 2013.  </w:t>
      </w:r>
    </w:p>
    <w:p w:rsidR="00B2198E" w:rsidRDefault="002D632A" w:rsidP="00B2198E">
      <w:pPr>
        <w:autoSpaceDE/>
        <w:adjustRightInd/>
        <w:spacing w:after="0" w:line="228" w:lineRule="auto"/>
        <w:ind w:right="53"/>
        <w:jc w:val="both"/>
        <w:rPr>
          <w:rFonts w:ascii="Times New Roman" w:eastAsia="Times New Roman" w:hAnsi="Times New Roman" w:cs="Times New Roman"/>
        </w:rPr>
      </w:pPr>
    </w:p>
    <w:p w:rsidR="00B2198E" w:rsidRPr="00D83CB0" w:rsidRDefault="00B71B54"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2198E" w:rsidRDefault="002D632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B71B54"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39.5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13.0</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 quarter of 2013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Pr>
          <w:rFonts w:ascii="Times New Roman" w:eastAsia="Times New Roman" w:hAnsi="Times New Roman" w:cs="Times New Roman"/>
          <w:lang w:val="en-GB"/>
        </w:rPr>
        <w:t>for the full year 2014</w:t>
      </w:r>
      <w:r w:rsidRPr="00632DA7">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were $</w:t>
      </w:r>
      <w:r>
        <w:rPr>
          <w:rFonts w:ascii="Times New Roman" w:eastAsia="Times New Roman" w:hAnsi="Times New Roman" w:cs="Times New Roman"/>
          <w:lang w:val="en-GB"/>
        </w:rPr>
        <w:t xml:space="preserve">122.9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45.0 million for the full year 2013</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rsidR="00B2198E" w:rsidRDefault="002D632A" w:rsidP="00B2198E">
      <w:pPr>
        <w:autoSpaceDE/>
        <w:autoSpaceDN/>
        <w:adjustRightInd/>
        <w:spacing w:after="0" w:line="240" w:lineRule="auto"/>
        <w:ind w:right="6277"/>
        <w:jc w:val="both"/>
        <w:rPr>
          <w:rFonts w:ascii="Times New Roman" w:eastAsia="Times New Roman" w:hAnsi="Times New Roman" w:cs="Times New Roman"/>
          <w:b/>
        </w:rPr>
      </w:pPr>
    </w:p>
    <w:p w:rsidR="00B2198E" w:rsidRPr="00A83034" w:rsidRDefault="00B71B54" w:rsidP="00B2198E">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2198E" w:rsidRPr="00A83034" w:rsidRDefault="002D632A" w:rsidP="00B2198E">
      <w:pPr>
        <w:autoSpaceDE/>
        <w:autoSpaceDN/>
        <w:adjustRightInd/>
        <w:spacing w:after="0" w:line="260" w:lineRule="exact"/>
        <w:jc w:val="both"/>
        <w:rPr>
          <w:rFonts w:ascii="Times New Roman" w:eastAsia="Times New Roman" w:hAnsi="Times New Roman" w:cs="Times New Roman"/>
        </w:rPr>
      </w:pPr>
    </w:p>
    <w:p w:rsidR="00B2198E" w:rsidRPr="000159FD" w:rsidRDefault="00B71B54"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Puma Biotechnology, Inc. is a development stage biopharmaceutical company that acquires and develops innovative products for the treatment of various forms of cancer. The Company focuses on in-licensing drug candidates that are undergoing or have already completed initial clinical testing for the treatment of cancer and then seeks to further develop those drug candidates for commercial use. The Company is initially focused on the development of PB272 (oral </w:t>
      </w:r>
      <w:proofErr w:type="spellStart"/>
      <w:r w:rsidRPr="000159FD">
        <w:rPr>
          <w:rFonts w:ascii="Times New Roman" w:eastAsia="Times New Roman" w:hAnsi="Times New Roman" w:cs="Times New Roman"/>
          <w:lang w:val="en-GB"/>
        </w:rPr>
        <w:t>neratinib</w:t>
      </w:r>
      <w:proofErr w:type="spellEnd"/>
      <w:r w:rsidRPr="000159FD">
        <w:rPr>
          <w:rFonts w:ascii="Times New Roman" w:eastAsia="Times New Roman" w:hAnsi="Times New Roman" w:cs="Times New Roman"/>
          <w:lang w:val="en-GB"/>
        </w:rPr>
        <w:t xml:space="preserve">), a potent irreversible tyrosine kinase inhibitor, for the treatment of patients with HER2-positive breast cancer and patients with non-small cell lung cancer, breast cancer and other solid </w:t>
      </w:r>
      <w:proofErr w:type="spellStart"/>
      <w:r w:rsidRPr="000159FD">
        <w:rPr>
          <w:rFonts w:ascii="Times New Roman" w:eastAsia="Times New Roman" w:hAnsi="Times New Roman" w:cs="Times New Roman"/>
          <w:lang w:val="en-GB"/>
        </w:rPr>
        <w:t>tumors</w:t>
      </w:r>
      <w:proofErr w:type="spellEnd"/>
      <w:r w:rsidRPr="000159FD">
        <w:rPr>
          <w:rFonts w:ascii="Times New Roman" w:eastAsia="Times New Roman" w:hAnsi="Times New Roman" w:cs="Times New Roman"/>
          <w:lang w:val="en-GB"/>
        </w:rPr>
        <w:t xml:space="preserve"> that have a HER2 mutation.</w:t>
      </w:r>
    </w:p>
    <w:p w:rsidR="00B2198E" w:rsidRPr="000159FD" w:rsidRDefault="002D632A" w:rsidP="00B2198E">
      <w:pPr>
        <w:autoSpaceDE/>
        <w:adjustRightInd/>
        <w:spacing w:after="0" w:line="228" w:lineRule="auto"/>
        <w:ind w:right="53"/>
        <w:jc w:val="both"/>
        <w:rPr>
          <w:rFonts w:ascii="Times New Roman" w:eastAsia="Times New Roman" w:hAnsi="Times New Roman" w:cs="Times New Roman"/>
          <w:lang w:val="en-GB"/>
        </w:rPr>
      </w:pPr>
    </w:p>
    <w:p w:rsidR="00B2198E" w:rsidRPr="000159FD" w:rsidRDefault="00B71B54"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2198E" w:rsidRPr="00A83034" w:rsidRDefault="002D632A" w:rsidP="00B2198E">
      <w:pPr>
        <w:autoSpaceDE/>
        <w:autoSpaceDN/>
        <w:adjustRightInd/>
        <w:spacing w:before="7" w:after="0" w:line="190" w:lineRule="exact"/>
        <w:rPr>
          <w:rFonts w:ascii="Times New Roman" w:eastAsia="Times New Roman" w:hAnsi="Times New Roman" w:cs="Times New Roman"/>
        </w:rPr>
      </w:pPr>
    </w:p>
    <w:p w:rsidR="00B2198E" w:rsidRPr="00A83034" w:rsidRDefault="00B71B54">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2198E" w:rsidRPr="00A83034" w:rsidRDefault="002D632A">
      <w:pPr>
        <w:autoSpaceDE/>
        <w:autoSpaceDN/>
        <w:adjustRightInd/>
        <w:spacing w:before="14" w:after="0" w:line="260" w:lineRule="exact"/>
        <w:rPr>
          <w:rFonts w:ascii="Times New Roman" w:eastAsia="Times New Roman" w:hAnsi="Times New Roman" w:cs="Times New Roman"/>
        </w:rPr>
      </w:pPr>
    </w:p>
    <w:p w:rsidR="00B2198E" w:rsidRPr="000159FD" w:rsidRDefault="00B71B54" w:rsidP="00B2198E">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This press release contains forward-looking statements, including statements regarding anticipated timing for the commencement and completion of various clinical trials and the announcement of data relative to these trials. All forward-looking statements included in this press release involve risks and uncertainties that could cause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t>
      </w:r>
      <w:r w:rsidRPr="000159FD">
        <w:rPr>
          <w:rFonts w:ascii="Times New Roman" w:eastAsia="Times New Roman" w:hAnsi="Times New Roman" w:cs="Times New Roman"/>
          <w:lang w:val="en-GB"/>
        </w:rPr>
        <w:lastRenderedPageBreak/>
        <w:t>with the Securities and Exchange Commission from time to time, including the Company's Annual Report on Form 10-K for the year ended December 31, 201</w:t>
      </w:r>
      <w:r w:rsidR="00E31FFC">
        <w:rPr>
          <w:rFonts w:ascii="Times New Roman" w:eastAsia="Times New Roman" w:hAnsi="Times New Roman" w:cs="Times New Roman"/>
          <w:lang w:val="en-GB"/>
        </w:rPr>
        <w:t>4</w:t>
      </w:r>
      <w:r w:rsidRPr="000159FD">
        <w:rPr>
          <w:rFonts w:ascii="Times New Roman" w:eastAsia="Times New Roman" w:hAnsi="Times New Roman" w:cs="Times New Roman"/>
          <w:lang w:val="en-GB"/>
        </w:rPr>
        <w:t xml:space="preserve">. </w:t>
      </w:r>
      <w:r w:rsidR="006624E9">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Readers are cautioned not to place undue reliance on these forward-looking statements, which speak only as of the date hereof. The Company assumes no obligation to update these forward-looking statements, except as required by law.</w:t>
      </w:r>
    </w:p>
    <w:p w:rsidR="00B2198E" w:rsidRDefault="002D632A">
      <w:pPr>
        <w:autoSpaceDE/>
        <w:autoSpaceDN/>
        <w:adjustRightInd/>
        <w:spacing w:after="0" w:line="240" w:lineRule="auto"/>
        <w:ind w:left="90" w:right="-20"/>
        <w:rPr>
          <w:rFonts w:ascii="Times New Roman" w:eastAsia="Times New Roman" w:hAnsi="Times New Roman" w:cs="Times New Roman"/>
          <w:sz w:val="20"/>
          <w:szCs w:val="20"/>
        </w:rPr>
      </w:pPr>
    </w:p>
    <w:p w:rsidR="00B2198E" w:rsidRDefault="002D632A">
      <w:pPr>
        <w:autoSpaceDE/>
        <w:autoSpaceDN/>
        <w:adjustRightInd/>
        <w:spacing w:after="0" w:line="240" w:lineRule="auto"/>
        <w:ind w:left="90" w:right="-20"/>
        <w:rPr>
          <w:rFonts w:ascii="Times New Roman" w:eastAsia="Times New Roman" w:hAnsi="Times New Roman" w:cs="Times New Roman"/>
          <w:b/>
          <w:sz w:val="24"/>
          <w:szCs w:val="24"/>
        </w:rPr>
      </w:pPr>
    </w:p>
    <w:p w:rsidR="00B2198E" w:rsidRDefault="00B71B54">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2198E" w:rsidRDefault="002D632A">
      <w:pPr>
        <w:autoSpaceDE/>
        <w:autoSpaceDN/>
        <w:adjustRightInd/>
        <w:spacing w:after="0" w:line="240" w:lineRule="auto"/>
        <w:ind w:right="-20"/>
        <w:rPr>
          <w:rFonts w:ascii="Times New Roman" w:eastAsia="Times New Roman" w:hAnsi="Times New Roman" w:cs="Times New Roman"/>
          <w:sz w:val="16"/>
          <w:szCs w:val="24"/>
        </w:rPr>
      </w:pPr>
    </w:p>
    <w:p w:rsidR="00B2198E" w:rsidRDefault="00B71B54" w:rsidP="00B2198E">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2198E" w:rsidRDefault="002D632A" w:rsidP="00B2198E">
      <w:pPr>
        <w:autoSpaceDE/>
        <w:autoSpaceDN/>
        <w:adjustRightInd/>
        <w:spacing w:after="60" w:line="240" w:lineRule="auto"/>
        <w:ind w:right="1085"/>
        <w:rPr>
          <w:rFonts w:ascii="Times New Roman" w:eastAsia="Times New Roman" w:hAnsi="Times New Roman" w:cs="Times New Roman"/>
          <w:szCs w:val="24"/>
        </w:rPr>
      </w:pPr>
      <w:hyperlink r:id="rId10" w:history="1">
        <w:r w:rsidR="00B71B54">
          <w:rPr>
            <w:rFonts w:ascii="Times New Roman" w:eastAsia="Times New Roman" w:hAnsi="Times New Roman" w:cs="Times New Roman"/>
            <w:color w:val="000000"/>
            <w:szCs w:val="24"/>
            <w:u w:color="0000FF"/>
          </w:rPr>
          <w:t>info@pu</w:t>
        </w:r>
        <w:r w:rsidR="00B71B54">
          <w:rPr>
            <w:rFonts w:ascii="Times New Roman" w:eastAsia="Times New Roman" w:hAnsi="Times New Roman" w:cs="Times New Roman"/>
            <w:color w:val="000000"/>
            <w:spacing w:val="-2"/>
            <w:szCs w:val="24"/>
            <w:u w:color="0000FF"/>
          </w:rPr>
          <w:t>m</w:t>
        </w:r>
        <w:r w:rsidR="00B71B54">
          <w:rPr>
            <w:rFonts w:ascii="Times New Roman" w:eastAsia="Times New Roman" w:hAnsi="Times New Roman" w:cs="Times New Roman"/>
            <w:color w:val="000000"/>
            <w:szCs w:val="24"/>
            <w:u w:color="0000FF"/>
          </w:rPr>
          <w:t>ab</w:t>
        </w:r>
        <w:r w:rsidR="00B71B54">
          <w:rPr>
            <w:rFonts w:ascii="Times New Roman" w:eastAsia="Times New Roman" w:hAnsi="Times New Roman" w:cs="Times New Roman"/>
            <w:color w:val="000000"/>
            <w:spacing w:val="-1"/>
            <w:szCs w:val="24"/>
            <w:u w:color="0000FF"/>
          </w:rPr>
          <w:t>i</w:t>
        </w:r>
        <w:r w:rsidR="00B71B54">
          <w:rPr>
            <w:rFonts w:ascii="Times New Roman" w:eastAsia="Times New Roman" w:hAnsi="Times New Roman" w:cs="Times New Roman"/>
            <w:color w:val="000000"/>
            <w:szCs w:val="24"/>
            <w:u w:color="0000FF"/>
          </w:rPr>
          <w:t>ot</w:t>
        </w:r>
        <w:r w:rsidR="00B71B54">
          <w:rPr>
            <w:rFonts w:ascii="Times New Roman" w:eastAsia="Times New Roman" w:hAnsi="Times New Roman" w:cs="Times New Roman"/>
            <w:color w:val="000000"/>
            <w:spacing w:val="-1"/>
            <w:szCs w:val="24"/>
            <w:u w:color="0000FF"/>
          </w:rPr>
          <w:t>e</w:t>
        </w:r>
        <w:r w:rsidR="00B71B54">
          <w:rPr>
            <w:rFonts w:ascii="Times New Roman" w:eastAsia="Times New Roman" w:hAnsi="Times New Roman" w:cs="Times New Roman"/>
            <w:color w:val="000000"/>
            <w:szCs w:val="24"/>
            <w:u w:color="0000FF"/>
          </w:rPr>
          <w:t>chno</w:t>
        </w:r>
        <w:r w:rsidR="00B71B54">
          <w:rPr>
            <w:rFonts w:ascii="Times New Roman" w:eastAsia="Times New Roman" w:hAnsi="Times New Roman" w:cs="Times New Roman"/>
            <w:color w:val="000000"/>
            <w:spacing w:val="-1"/>
            <w:szCs w:val="24"/>
            <w:u w:color="0000FF"/>
          </w:rPr>
          <w:t>l</w:t>
        </w:r>
        <w:r w:rsidR="00B71B54">
          <w:rPr>
            <w:rFonts w:ascii="Times New Roman" w:eastAsia="Times New Roman" w:hAnsi="Times New Roman" w:cs="Times New Roman"/>
            <w:color w:val="000000"/>
            <w:szCs w:val="24"/>
            <w:u w:color="0000FF"/>
          </w:rPr>
          <w:t>ogy.com</w:t>
        </w:r>
      </w:hyperlink>
    </w:p>
    <w:p w:rsidR="00B2198E" w:rsidRDefault="002D632A" w:rsidP="00B2198E">
      <w:pPr>
        <w:autoSpaceDE/>
        <w:autoSpaceDN/>
        <w:adjustRightInd/>
        <w:spacing w:after="60" w:line="260" w:lineRule="exact"/>
        <w:ind w:right="-20"/>
        <w:rPr>
          <w:rFonts w:ascii="Times New Roman" w:eastAsia="Times New Roman" w:hAnsi="Times New Roman" w:cs="Times New Roman"/>
          <w:szCs w:val="24"/>
        </w:rPr>
      </w:pPr>
      <w:hyperlink r:id="rId11" w:history="1">
        <w:r w:rsidR="00B71B54">
          <w:rPr>
            <w:rFonts w:ascii="Times New Roman" w:eastAsia="Times New Roman" w:hAnsi="Times New Roman" w:cs="Times New Roman"/>
            <w:color w:val="000000"/>
            <w:position w:val="-1"/>
            <w:szCs w:val="24"/>
            <w:u w:color="0000FF"/>
          </w:rPr>
          <w:t>ir@pu</w:t>
        </w:r>
        <w:r w:rsidR="00B71B54">
          <w:rPr>
            <w:rFonts w:ascii="Times New Roman" w:eastAsia="Times New Roman" w:hAnsi="Times New Roman" w:cs="Times New Roman"/>
            <w:color w:val="000000"/>
            <w:spacing w:val="-2"/>
            <w:position w:val="-1"/>
            <w:szCs w:val="24"/>
            <w:u w:color="0000FF"/>
          </w:rPr>
          <w:t>m</w:t>
        </w:r>
        <w:r w:rsidR="00B71B54">
          <w:rPr>
            <w:rFonts w:ascii="Times New Roman" w:eastAsia="Times New Roman" w:hAnsi="Times New Roman" w:cs="Times New Roman"/>
            <w:color w:val="000000"/>
            <w:position w:val="-1"/>
            <w:szCs w:val="24"/>
            <w:u w:color="0000FF"/>
          </w:rPr>
          <w:t>ab</w:t>
        </w:r>
        <w:r w:rsidR="00B71B54">
          <w:rPr>
            <w:rFonts w:ascii="Times New Roman" w:eastAsia="Times New Roman" w:hAnsi="Times New Roman" w:cs="Times New Roman"/>
            <w:color w:val="000000"/>
            <w:spacing w:val="-1"/>
            <w:position w:val="-1"/>
            <w:szCs w:val="24"/>
            <w:u w:color="0000FF"/>
          </w:rPr>
          <w:t>i</w:t>
        </w:r>
        <w:r w:rsidR="00B71B54">
          <w:rPr>
            <w:rFonts w:ascii="Times New Roman" w:eastAsia="Times New Roman" w:hAnsi="Times New Roman" w:cs="Times New Roman"/>
            <w:color w:val="000000"/>
            <w:position w:val="-1"/>
            <w:szCs w:val="24"/>
            <w:u w:color="0000FF"/>
          </w:rPr>
          <w:t>otechno</w:t>
        </w:r>
        <w:r w:rsidR="00B71B54">
          <w:rPr>
            <w:rFonts w:ascii="Times New Roman" w:eastAsia="Times New Roman" w:hAnsi="Times New Roman" w:cs="Times New Roman"/>
            <w:color w:val="000000"/>
            <w:spacing w:val="-1"/>
            <w:position w:val="-1"/>
            <w:szCs w:val="24"/>
            <w:u w:color="0000FF"/>
          </w:rPr>
          <w:t>l</w:t>
        </w:r>
        <w:r w:rsidR="00B71B54">
          <w:rPr>
            <w:rFonts w:ascii="Times New Roman" w:eastAsia="Times New Roman" w:hAnsi="Times New Roman" w:cs="Times New Roman"/>
            <w:color w:val="000000"/>
            <w:position w:val="-1"/>
            <w:szCs w:val="24"/>
            <w:u w:color="0000FF"/>
          </w:rPr>
          <w:t>o</w:t>
        </w:r>
        <w:r w:rsidR="00B71B54">
          <w:rPr>
            <w:rFonts w:ascii="Times New Roman" w:eastAsia="Times New Roman" w:hAnsi="Times New Roman" w:cs="Times New Roman"/>
            <w:color w:val="000000"/>
            <w:spacing w:val="-1"/>
            <w:position w:val="-1"/>
            <w:szCs w:val="24"/>
            <w:u w:color="0000FF"/>
          </w:rPr>
          <w:t>g</w:t>
        </w:r>
        <w:r w:rsidR="00B71B54">
          <w:rPr>
            <w:rFonts w:ascii="Times New Roman" w:eastAsia="Times New Roman" w:hAnsi="Times New Roman" w:cs="Times New Roman"/>
            <w:color w:val="000000"/>
            <w:spacing w:val="1"/>
            <w:position w:val="-1"/>
            <w:szCs w:val="24"/>
            <w:u w:color="0000FF"/>
          </w:rPr>
          <w:t>y</w:t>
        </w:r>
        <w:r w:rsidR="00B71B54">
          <w:rPr>
            <w:rFonts w:ascii="Times New Roman" w:eastAsia="Times New Roman" w:hAnsi="Times New Roman" w:cs="Times New Roman"/>
            <w:color w:val="000000"/>
            <w:position w:val="-1"/>
            <w:szCs w:val="24"/>
            <w:u w:color="0000FF"/>
          </w:rPr>
          <w:t>.</w:t>
        </w:r>
        <w:r w:rsidR="00B71B54">
          <w:rPr>
            <w:rFonts w:ascii="Times New Roman" w:eastAsia="Times New Roman" w:hAnsi="Times New Roman" w:cs="Times New Roman"/>
            <w:color w:val="000000"/>
            <w:spacing w:val="-2"/>
            <w:position w:val="-1"/>
            <w:szCs w:val="24"/>
            <w:u w:color="0000FF"/>
          </w:rPr>
          <w:t>c</w:t>
        </w:r>
        <w:r w:rsidR="00B71B54">
          <w:rPr>
            <w:rFonts w:ascii="Times New Roman" w:eastAsia="Times New Roman" w:hAnsi="Times New Roman" w:cs="Times New Roman"/>
            <w:color w:val="000000"/>
            <w:position w:val="-1"/>
            <w:szCs w:val="24"/>
            <w:u w:color="0000FF"/>
          </w:rPr>
          <w:t>om</w:t>
        </w:r>
      </w:hyperlink>
    </w:p>
    <w:p w:rsidR="00B2198E" w:rsidRPr="00A83034" w:rsidRDefault="002D632A">
      <w:pPr>
        <w:autoSpaceDE/>
        <w:autoSpaceDN/>
        <w:adjustRightInd/>
        <w:spacing w:after="0" w:line="200" w:lineRule="exact"/>
        <w:rPr>
          <w:rFonts w:ascii="Times New Roman" w:eastAsia="Times New Roman" w:hAnsi="Times New Roman" w:cs="Times New Roman"/>
          <w:sz w:val="16"/>
          <w:szCs w:val="16"/>
        </w:rPr>
      </w:pPr>
    </w:p>
    <w:p w:rsidR="00B2198E" w:rsidRPr="00A83034" w:rsidRDefault="00B71B54" w:rsidP="00B2198E">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proofErr w:type="spellStart"/>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w:t>
      </w:r>
      <w:proofErr w:type="spellEnd"/>
      <w:r>
        <w:rPr>
          <w:rFonts w:ascii="Times New Roman" w:eastAsia="Times New Roman" w:hAnsi="Times New Roman" w:cs="Times New Roman"/>
          <w:szCs w:val="24"/>
        </w:rPr>
        <w:t>,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B2198E" w:rsidRPr="00A83034" w:rsidRDefault="00B71B54" w:rsidP="00B2198E">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B2198E" w:rsidRDefault="002D632A" w:rsidP="00B2198E">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B71B54">
          <w:rPr>
            <w:rFonts w:ascii="Times New Roman" w:eastAsia="Times New Roman" w:hAnsi="Times New Roman" w:cs="Times New Roman"/>
            <w:color w:val="000000"/>
            <w:szCs w:val="24"/>
            <w:u w:color="0000FF"/>
          </w:rPr>
          <w:t>dav</w:t>
        </w:r>
        <w:r w:rsidR="00B71B54">
          <w:rPr>
            <w:rFonts w:ascii="Times New Roman" w:eastAsia="Times New Roman" w:hAnsi="Times New Roman" w:cs="Times New Roman"/>
            <w:color w:val="000000"/>
            <w:spacing w:val="-1"/>
            <w:szCs w:val="24"/>
            <w:u w:color="0000FF"/>
          </w:rPr>
          <w:t>i</w:t>
        </w:r>
        <w:r w:rsidR="00B71B54">
          <w:rPr>
            <w:rFonts w:ascii="Times New Roman" w:eastAsia="Times New Roman" w:hAnsi="Times New Roman" w:cs="Times New Roman"/>
            <w:color w:val="000000"/>
            <w:szCs w:val="24"/>
            <w:u w:color="0000FF"/>
          </w:rPr>
          <w:t>d.schul</w:t>
        </w:r>
        <w:r w:rsidR="00B71B54">
          <w:rPr>
            <w:rFonts w:ascii="Times New Roman" w:eastAsia="Times New Roman" w:hAnsi="Times New Roman" w:cs="Times New Roman"/>
            <w:color w:val="000000"/>
            <w:spacing w:val="-1"/>
            <w:szCs w:val="24"/>
            <w:u w:color="0000FF"/>
          </w:rPr>
          <w:t>l</w:t>
        </w:r>
        <w:r w:rsidR="00B71B54">
          <w:rPr>
            <w:rFonts w:ascii="Times New Roman" w:eastAsia="Times New Roman" w:hAnsi="Times New Roman" w:cs="Times New Roman"/>
            <w:color w:val="000000"/>
            <w:szCs w:val="24"/>
            <w:u w:color="0000FF"/>
          </w:rPr>
          <w:t>@russopar</w:t>
        </w:r>
        <w:r w:rsidR="00B71B54">
          <w:rPr>
            <w:rFonts w:ascii="Times New Roman" w:eastAsia="Times New Roman" w:hAnsi="Times New Roman" w:cs="Times New Roman"/>
            <w:color w:val="000000"/>
            <w:spacing w:val="-1"/>
            <w:szCs w:val="24"/>
            <w:u w:color="0000FF"/>
          </w:rPr>
          <w:t>tn</w:t>
        </w:r>
        <w:r w:rsidR="00B71B54">
          <w:rPr>
            <w:rFonts w:ascii="Times New Roman" w:eastAsia="Times New Roman" w:hAnsi="Times New Roman" w:cs="Times New Roman"/>
            <w:color w:val="000000"/>
            <w:szCs w:val="24"/>
            <w:u w:color="0000FF"/>
          </w:rPr>
          <w:t>ersl</w:t>
        </w:r>
        <w:r w:rsidR="00B71B54">
          <w:rPr>
            <w:rFonts w:ascii="Times New Roman" w:eastAsia="Times New Roman" w:hAnsi="Times New Roman" w:cs="Times New Roman"/>
            <w:color w:val="000000"/>
            <w:spacing w:val="-1"/>
            <w:szCs w:val="24"/>
            <w:u w:color="0000FF"/>
          </w:rPr>
          <w:t>l</w:t>
        </w:r>
        <w:r w:rsidR="00B71B54">
          <w:rPr>
            <w:rFonts w:ascii="Times New Roman" w:eastAsia="Times New Roman" w:hAnsi="Times New Roman" w:cs="Times New Roman"/>
            <w:color w:val="000000"/>
            <w:szCs w:val="24"/>
            <w:u w:color="0000FF"/>
          </w:rPr>
          <w:t>c.com</w:t>
        </w:r>
      </w:hyperlink>
    </w:p>
    <w:p w:rsidR="00B2198E" w:rsidRDefault="002D632A">
      <w:pPr>
        <w:autoSpaceDE/>
        <w:autoSpaceDN/>
        <w:adjustRightInd/>
        <w:spacing w:after="0" w:line="240" w:lineRule="auto"/>
        <w:ind w:left="100" w:right="-20"/>
        <w:jc w:val="center"/>
        <w:rPr>
          <w:rFonts w:ascii="Times New Roman" w:eastAsia="Times New Roman" w:hAnsi="Times New Roman" w:cs="Times New Roman"/>
          <w:b/>
          <w:sz w:val="20"/>
          <w:szCs w:val="24"/>
        </w:rPr>
      </w:pPr>
    </w:p>
    <w:p w:rsidR="00B2198E" w:rsidRDefault="00B71B54">
      <w:pPr>
        <w:autoSpaceDE/>
        <w:autoSpaceDN/>
        <w:adjustRightInd/>
        <w:spacing w:after="0" w:line="240" w:lineRule="auto"/>
        <w:ind w:left="100" w:right="-20"/>
        <w:jc w:val="center"/>
        <w:rPr>
          <w:rFonts w:ascii="Times New Roman" w:eastAsia="Times New Roman" w:hAnsi="Times New Roman" w:cs="Times New Roman"/>
          <w:b/>
          <w:sz w:val="20"/>
          <w:szCs w:val="24"/>
        </w:rPr>
      </w:pPr>
      <w:bookmarkStart w:id="0" w:name="_GoBack"/>
      <w:r>
        <w:rPr>
          <w:rFonts w:ascii="Times New Roman" w:eastAsia="Times New Roman" w:hAnsi="Times New Roman" w:cs="Times New Roman"/>
          <w:b/>
          <w:sz w:val="20"/>
          <w:szCs w:val="24"/>
        </w:rPr>
        <w:t># # # # #</w:t>
      </w:r>
    </w:p>
    <w:p w:rsidR="00B2198E" w:rsidRDefault="002D632A">
      <w:pPr>
        <w:autoSpaceDE/>
        <w:autoSpaceDN/>
        <w:adjustRightInd/>
        <w:spacing w:after="0" w:line="240" w:lineRule="auto"/>
        <w:ind w:left="100" w:right="-20"/>
        <w:jc w:val="center"/>
        <w:rPr>
          <w:rFonts w:ascii="Times New Roman" w:eastAsia="Times New Roman" w:hAnsi="Times New Roman" w:cs="Times New Roman"/>
          <w:b/>
          <w:sz w:val="16"/>
          <w:szCs w:val="24"/>
        </w:rPr>
      </w:pPr>
    </w:p>
    <w:p w:rsidR="00B2198E" w:rsidRDefault="00B71B54" w:rsidP="00B2198E">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bookmarkEnd w:id="0"/>
    <w:p w:rsidR="00B2198E" w:rsidRDefault="002D632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Pr="009D1030" w:rsidRDefault="009D1030" w:rsidP="009D1030">
      <w:pPr>
        <w:autoSpaceDE/>
        <w:autoSpaceDN/>
        <w:adjustRightInd/>
        <w:spacing w:after="0" w:line="240" w:lineRule="auto"/>
        <w:ind w:left="100" w:right="-20"/>
        <w:jc w:val="center"/>
        <w:rPr>
          <w:rFonts w:ascii="Times New Roman" w:eastAsia="Times New Roman" w:hAnsi="Times New Roman" w:cs="Times New Roman"/>
          <w:b/>
          <w:szCs w:val="24"/>
        </w:rPr>
      </w:pPr>
      <w:r w:rsidRPr="009D1030">
        <w:rPr>
          <w:noProof/>
        </w:rPr>
        <w:lastRenderedPageBreak/>
        <w:drawing>
          <wp:inline distT="0" distB="0" distL="0" distR="0" wp14:anchorId="0463204B" wp14:editId="69DA8901">
            <wp:extent cx="5407025" cy="85159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7025" cy="8515985"/>
                    </a:xfrm>
                    <a:prstGeom prst="rect">
                      <a:avLst/>
                    </a:prstGeom>
                    <a:noFill/>
                    <a:ln>
                      <a:noFill/>
                    </a:ln>
                  </pic:spPr>
                </pic:pic>
              </a:graphicData>
            </a:graphic>
          </wp:inline>
        </w:drawing>
      </w:r>
      <w:r w:rsidR="00FD1F2F">
        <w:rPr>
          <w:rFonts w:ascii="Times New Roman" w:eastAsia="Times New Roman" w:hAnsi="Times New Roman" w:cs="Times New Roman"/>
          <w:b/>
          <w:sz w:val="24"/>
          <w:szCs w:val="24"/>
        </w:rPr>
        <w:t xml:space="preserve">    </w:t>
      </w:r>
    </w:p>
    <w:p w:rsidR="00A01DB9" w:rsidRDefault="00B71B54" w:rsidP="00051038">
      <w:pPr>
        <w:widowControl/>
        <w:autoSpaceDE/>
        <w:autoSpaceDN/>
        <w:adjustRightIn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22BB6" w:rsidRPr="00322BB6" w:rsidRDefault="00B71B54" w:rsidP="00322BB6">
      <w:pPr>
        <w:pStyle w:val="BodyText1"/>
        <w:ind w:firstLine="0"/>
        <w:rPr>
          <w:b/>
          <w:sz w:val="22"/>
          <w:szCs w:val="22"/>
        </w:rPr>
      </w:pPr>
      <w:r w:rsidRPr="00322BB6">
        <w:rPr>
          <w:b/>
          <w:sz w:val="22"/>
          <w:szCs w:val="22"/>
        </w:rPr>
        <w:t>Non-GAAP Financial Measures:</w:t>
      </w:r>
    </w:p>
    <w:p w:rsidR="00322BB6" w:rsidRDefault="00B71B54" w:rsidP="00350FC7">
      <w:pPr>
        <w:pStyle w:val="BodyText1"/>
        <w:spacing w:after="120"/>
        <w:jc w:val="both"/>
        <w:rPr>
          <w:sz w:val="22"/>
          <w:szCs w:val="22"/>
        </w:rPr>
      </w:pPr>
      <w:r w:rsidRPr="00322BB6">
        <w:rPr>
          <w:sz w:val="22"/>
          <w:szCs w:val="22"/>
        </w:rPr>
        <w:t xml:space="preserve">In addition to </w:t>
      </w:r>
      <w:r w:rsidRPr="00322BB6">
        <w:rPr>
          <w:rFonts w:cs="Times New Roman"/>
          <w:sz w:val="22"/>
          <w:szCs w:val="22"/>
        </w:rPr>
        <w:t>the Company’s</w:t>
      </w:r>
      <w:r w:rsidRPr="00322BB6">
        <w:rPr>
          <w:sz w:val="22"/>
          <w:szCs w:val="22"/>
        </w:rPr>
        <w:t xml:space="preserve"> operating results, as calculated in accordance with GAAP, </w:t>
      </w:r>
      <w:r w:rsidRPr="00322BB6">
        <w:rPr>
          <w:rFonts w:cs="Times New Roman"/>
          <w:sz w:val="22"/>
          <w:szCs w:val="22"/>
        </w:rPr>
        <w:t>the Company</w:t>
      </w:r>
      <w:r w:rsidRPr="00322BB6">
        <w:rPr>
          <w:sz w:val="22"/>
          <w:szCs w:val="22"/>
        </w:rPr>
        <w:t xml:space="preserve"> uses certain non-GAAP financial measures when planning, monitoring, and evaluating its operational performance. The following table presents the Company’s net loss and net loss per share, as calculated in accordance with GAAP, as adjusted to remove the impact of employee stock-based compensation. These non-GAAP financial measures are not, and should not be viewed as, substitutes for GAAP reporting measures. The Company believes these non-GAAP financial measures enhance understanding of its financial performance, are more indicative of its operational performance and facilitate a better comparison among fiscal periods.</w:t>
      </w:r>
    </w:p>
    <w:p w:rsidR="00504A6E" w:rsidRDefault="00504A6E" w:rsidP="00504A6E">
      <w:pPr>
        <w:pStyle w:val="BodyText1"/>
        <w:spacing w:after="0"/>
        <w:jc w:val="both"/>
        <w:rPr>
          <w:sz w:val="22"/>
          <w:szCs w:val="22"/>
        </w:rPr>
      </w:pPr>
    </w:p>
    <w:p w:rsidR="00C9299C" w:rsidRDefault="00CE27D1" w:rsidP="00C9299C">
      <w:pPr>
        <w:pStyle w:val="BodyText1"/>
        <w:ind w:firstLine="0"/>
        <w:jc w:val="center"/>
        <w:rPr>
          <w:sz w:val="22"/>
          <w:szCs w:val="22"/>
        </w:rPr>
      </w:pPr>
      <w:r>
        <w:rPr>
          <w:sz w:val="22"/>
          <w:szCs w:val="22"/>
        </w:rPr>
        <w:fldChar w:fldCharType="begin"/>
      </w:r>
      <w:r>
        <w:rPr>
          <w:sz w:val="22"/>
          <w:szCs w:val="22"/>
        </w:rPr>
        <w:instrText xml:space="preserve"> LINK Excel.Sheet.12 "" "" \a \p </w:instrText>
      </w:r>
      <w:r>
        <w:rPr>
          <w:sz w:val="22"/>
          <w:szCs w:val="22"/>
        </w:rPr>
        <w:fldChar w:fldCharType="separate"/>
      </w:r>
      <w:r w:rsidR="002D632A">
        <w:rPr>
          <w:sz w:val="22"/>
          <w:szCs w:val="22"/>
        </w:rPr>
        <w:object w:dxaOrig="9838"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pt;height:481.4pt">
            <v:imagedata r:id="rId14" o:title=""/>
          </v:shape>
        </w:object>
      </w:r>
      <w:r>
        <w:rPr>
          <w:sz w:val="22"/>
          <w:szCs w:val="22"/>
        </w:rPr>
        <w:fldChar w:fldCharType="end"/>
      </w:r>
    </w:p>
    <w:p w:rsidR="00350FC7" w:rsidRPr="007D7E9B" w:rsidRDefault="00350FC7" w:rsidP="00350FC7">
      <w:pPr>
        <w:pStyle w:val="BodyText1"/>
        <w:spacing w:after="0"/>
        <w:ind w:firstLine="0"/>
        <w:jc w:val="center"/>
        <w:rPr>
          <w:b/>
          <w:sz w:val="22"/>
          <w:szCs w:val="22"/>
        </w:rPr>
      </w:pPr>
      <w:r w:rsidRPr="007D7E9B">
        <w:rPr>
          <w:b/>
          <w:sz w:val="22"/>
          <w:szCs w:val="22"/>
        </w:rPr>
        <w:t># # # # #</w:t>
      </w:r>
    </w:p>
    <w:sectPr w:rsidR="00350FC7" w:rsidRPr="007D7E9B" w:rsidSect="00C842A4">
      <w:headerReference w:type="even" r:id="rId15"/>
      <w:headerReference w:type="default" r:id="rId16"/>
      <w:footerReference w:type="even" r:id="rId17"/>
      <w:footerReference w:type="default" r:id="rId18"/>
      <w:headerReference w:type="first" r:id="rId19"/>
      <w:footerReference w:type="first" r:id="rId20"/>
      <w:pgSz w:w="12240" w:h="15840"/>
      <w:pgMar w:top="576" w:right="1152" w:bottom="432" w:left="1152"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69" w:rsidRDefault="005F5C69">
      <w:pPr>
        <w:spacing w:after="0" w:line="240" w:lineRule="auto"/>
      </w:pPr>
      <w:r>
        <w:separator/>
      </w:r>
    </w:p>
  </w:endnote>
  <w:endnote w:type="continuationSeparator" w:id="0">
    <w:p w:rsidR="005F5C69" w:rsidRDefault="005F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71" w:rsidRDefault="002D63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D" w:rsidRDefault="002D632A">
    <w:pPr>
      <w:autoSpaceDE/>
      <w:autoSpaceDN/>
      <w:adjustRightInd/>
      <w:rPr>
        <w:rFonts w:eastAsia="Times New Roman" w:cs="Times New Roman"/>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D" w:rsidRDefault="00B71B54">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69" w:rsidRDefault="005F5C69">
      <w:pPr>
        <w:spacing w:after="0" w:line="240" w:lineRule="auto"/>
      </w:pPr>
      <w:r>
        <w:separator/>
      </w:r>
    </w:p>
  </w:footnote>
  <w:footnote w:type="continuationSeparator" w:id="0">
    <w:p w:rsidR="005F5C69" w:rsidRDefault="005F5C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71" w:rsidRDefault="002D6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D" w:rsidRDefault="00B71B54">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D" w:rsidRDefault="00B71B54">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0F00D698">
      <w:start w:val="1"/>
      <w:numFmt w:val="bullet"/>
      <w:lvlText w:val="•"/>
      <w:lvlJc w:val="left"/>
      <w:pPr>
        <w:tabs>
          <w:tab w:val="left" w:pos="720"/>
        </w:tabs>
        <w:ind w:left="720" w:hanging="360"/>
      </w:pPr>
      <w:rPr>
        <w:rFonts w:ascii="Arial" w:hAnsi="Arial"/>
        <w:strike w:val="0"/>
        <w:dstrike w:val="0"/>
      </w:rPr>
    </w:lvl>
    <w:lvl w:ilvl="1" w:tplc="2FC04A26">
      <w:start w:val="1"/>
      <w:numFmt w:val="bullet"/>
      <w:lvlText w:val="•"/>
      <w:lvlJc w:val="left"/>
      <w:pPr>
        <w:tabs>
          <w:tab w:val="left" w:pos="1440"/>
        </w:tabs>
        <w:ind w:left="1440" w:hanging="360"/>
      </w:pPr>
      <w:rPr>
        <w:rFonts w:ascii="Arial" w:hAnsi="Arial"/>
        <w:strike w:val="0"/>
        <w:dstrike w:val="0"/>
      </w:rPr>
    </w:lvl>
    <w:lvl w:ilvl="2" w:tplc="FB708964">
      <w:start w:val="1"/>
      <w:numFmt w:val="bullet"/>
      <w:lvlText w:val="•"/>
      <w:lvlJc w:val="left"/>
      <w:pPr>
        <w:tabs>
          <w:tab w:val="left" w:pos="2160"/>
        </w:tabs>
        <w:ind w:left="2160" w:hanging="360"/>
      </w:pPr>
      <w:rPr>
        <w:rFonts w:ascii="Arial" w:hAnsi="Arial"/>
        <w:strike w:val="0"/>
        <w:dstrike w:val="0"/>
      </w:rPr>
    </w:lvl>
    <w:lvl w:ilvl="3" w:tplc="604A6362">
      <w:start w:val="1"/>
      <w:numFmt w:val="bullet"/>
      <w:lvlText w:val="•"/>
      <w:lvlJc w:val="left"/>
      <w:pPr>
        <w:tabs>
          <w:tab w:val="left" w:pos="2880"/>
        </w:tabs>
        <w:ind w:left="2880" w:hanging="360"/>
      </w:pPr>
      <w:rPr>
        <w:rFonts w:ascii="Arial" w:hAnsi="Arial"/>
        <w:strike w:val="0"/>
        <w:dstrike w:val="0"/>
      </w:rPr>
    </w:lvl>
    <w:lvl w:ilvl="4" w:tplc="42BA6316">
      <w:start w:val="1"/>
      <w:numFmt w:val="bullet"/>
      <w:lvlText w:val="•"/>
      <w:lvlJc w:val="left"/>
      <w:pPr>
        <w:tabs>
          <w:tab w:val="left" w:pos="3600"/>
        </w:tabs>
        <w:ind w:left="3600" w:hanging="360"/>
      </w:pPr>
      <w:rPr>
        <w:rFonts w:ascii="Arial" w:hAnsi="Arial"/>
        <w:strike w:val="0"/>
        <w:dstrike w:val="0"/>
      </w:rPr>
    </w:lvl>
    <w:lvl w:ilvl="5" w:tplc="C302AFFC">
      <w:start w:val="1"/>
      <w:numFmt w:val="bullet"/>
      <w:lvlText w:val="•"/>
      <w:lvlJc w:val="left"/>
      <w:pPr>
        <w:tabs>
          <w:tab w:val="left" w:pos="4320"/>
        </w:tabs>
        <w:ind w:left="4320" w:hanging="360"/>
      </w:pPr>
      <w:rPr>
        <w:rFonts w:ascii="Arial" w:hAnsi="Arial"/>
        <w:strike w:val="0"/>
        <w:dstrike w:val="0"/>
      </w:rPr>
    </w:lvl>
    <w:lvl w:ilvl="6" w:tplc="C8B68C92">
      <w:start w:val="1"/>
      <w:numFmt w:val="bullet"/>
      <w:lvlText w:val="•"/>
      <w:lvlJc w:val="left"/>
      <w:pPr>
        <w:tabs>
          <w:tab w:val="left" w:pos="5040"/>
        </w:tabs>
        <w:ind w:left="5040" w:hanging="360"/>
      </w:pPr>
      <w:rPr>
        <w:rFonts w:ascii="Arial" w:hAnsi="Arial"/>
        <w:strike w:val="0"/>
        <w:dstrike w:val="0"/>
      </w:rPr>
    </w:lvl>
    <w:lvl w:ilvl="7" w:tplc="57E663A4">
      <w:start w:val="1"/>
      <w:numFmt w:val="bullet"/>
      <w:lvlText w:val="•"/>
      <w:lvlJc w:val="left"/>
      <w:pPr>
        <w:tabs>
          <w:tab w:val="left" w:pos="5760"/>
        </w:tabs>
        <w:ind w:left="5760" w:hanging="360"/>
      </w:pPr>
      <w:rPr>
        <w:rFonts w:ascii="Arial" w:hAnsi="Arial"/>
        <w:strike w:val="0"/>
        <w:dstrike w:val="0"/>
      </w:rPr>
    </w:lvl>
    <w:lvl w:ilvl="8" w:tplc="149E751E">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45146436">
      <w:start w:val="1"/>
      <w:numFmt w:val="bullet"/>
      <w:lvlText w:val=""/>
      <w:lvlJc w:val="left"/>
      <w:pPr>
        <w:ind w:left="720" w:hanging="360"/>
      </w:pPr>
      <w:rPr>
        <w:rFonts w:ascii="Symbol" w:hAnsi="Symbol" w:hint="default"/>
      </w:rPr>
    </w:lvl>
    <w:lvl w:ilvl="1" w:tplc="0B749BA0" w:tentative="1">
      <w:start w:val="1"/>
      <w:numFmt w:val="lowerLetter"/>
      <w:lvlText w:val="%2."/>
      <w:lvlJc w:val="left"/>
      <w:pPr>
        <w:ind w:left="1440" w:hanging="360"/>
      </w:pPr>
    </w:lvl>
    <w:lvl w:ilvl="2" w:tplc="D6F4E32C" w:tentative="1">
      <w:start w:val="1"/>
      <w:numFmt w:val="lowerRoman"/>
      <w:lvlText w:val="%3."/>
      <w:lvlJc w:val="right"/>
      <w:pPr>
        <w:ind w:left="2160" w:hanging="180"/>
      </w:pPr>
    </w:lvl>
    <w:lvl w:ilvl="3" w:tplc="A7D4EC0E" w:tentative="1">
      <w:start w:val="1"/>
      <w:numFmt w:val="decimal"/>
      <w:lvlText w:val="%4."/>
      <w:lvlJc w:val="left"/>
      <w:pPr>
        <w:ind w:left="2880" w:hanging="360"/>
      </w:pPr>
    </w:lvl>
    <w:lvl w:ilvl="4" w:tplc="8C74A1E0" w:tentative="1">
      <w:start w:val="1"/>
      <w:numFmt w:val="lowerLetter"/>
      <w:lvlText w:val="%5."/>
      <w:lvlJc w:val="left"/>
      <w:pPr>
        <w:ind w:left="3600" w:hanging="360"/>
      </w:pPr>
    </w:lvl>
    <w:lvl w:ilvl="5" w:tplc="89029708" w:tentative="1">
      <w:start w:val="1"/>
      <w:numFmt w:val="lowerRoman"/>
      <w:lvlText w:val="%6."/>
      <w:lvlJc w:val="right"/>
      <w:pPr>
        <w:ind w:left="4320" w:hanging="180"/>
      </w:pPr>
    </w:lvl>
    <w:lvl w:ilvl="6" w:tplc="B9020B7A" w:tentative="1">
      <w:start w:val="1"/>
      <w:numFmt w:val="decimal"/>
      <w:lvlText w:val="%7."/>
      <w:lvlJc w:val="left"/>
      <w:pPr>
        <w:ind w:left="5040" w:hanging="360"/>
      </w:pPr>
    </w:lvl>
    <w:lvl w:ilvl="7" w:tplc="851C15F2" w:tentative="1">
      <w:start w:val="1"/>
      <w:numFmt w:val="lowerLetter"/>
      <w:lvlText w:val="%8."/>
      <w:lvlJc w:val="left"/>
      <w:pPr>
        <w:ind w:left="5760" w:hanging="360"/>
      </w:pPr>
    </w:lvl>
    <w:lvl w:ilvl="8" w:tplc="565EEBC4"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EC"/>
    <w:rsid w:val="00023480"/>
    <w:rsid w:val="000C38F6"/>
    <w:rsid w:val="00265BEC"/>
    <w:rsid w:val="00275FDB"/>
    <w:rsid w:val="002D632A"/>
    <w:rsid w:val="00350FC7"/>
    <w:rsid w:val="00496654"/>
    <w:rsid w:val="004A1D73"/>
    <w:rsid w:val="004A608E"/>
    <w:rsid w:val="004E32B0"/>
    <w:rsid w:val="00504A6E"/>
    <w:rsid w:val="005F5C69"/>
    <w:rsid w:val="006624E9"/>
    <w:rsid w:val="00785A37"/>
    <w:rsid w:val="007C2497"/>
    <w:rsid w:val="007D7E9B"/>
    <w:rsid w:val="00813399"/>
    <w:rsid w:val="008B5123"/>
    <w:rsid w:val="008C0DF4"/>
    <w:rsid w:val="009D1030"/>
    <w:rsid w:val="00A13E29"/>
    <w:rsid w:val="00A26F60"/>
    <w:rsid w:val="00AA58F5"/>
    <w:rsid w:val="00AE25DB"/>
    <w:rsid w:val="00B71B54"/>
    <w:rsid w:val="00C01F82"/>
    <w:rsid w:val="00C53934"/>
    <w:rsid w:val="00C842A4"/>
    <w:rsid w:val="00C9299C"/>
    <w:rsid w:val="00CC5AB0"/>
    <w:rsid w:val="00CE27D1"/>
    <w:rsid w:val="00DC03AE"/>
    <w:rsid w:val="00E31FFC"/>
    <w:rsid w:val="00FD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25EFD"/>
    <w:rPr>
      <w:rFonts w:cs="Calibri"/>
      <w:sz w:val="22"/>
      <w:szCs w:val="22"/>
    </w:rPr>
  </w:style>
  <w:style w:type="paragraph" w:customStyle="1" w:styleId="BodyText1">
    <w:name w:val="BodyText 1"/>
    <w:basedOn w:val="Normal"/>
    <w:uiPriority w:val="1"/>
    <w:qFormat/>
    <w:rsid w:val="00322BB6"/>
    <w:pPr>
      <w:widowControl/>
      <w:autoSpaceDE/>
      <w:autoSpaceDN/>
      <w:adjustRightInd/>
      <w:spacing w:after="240" w:line="240" w:lineRule="auto"/>
      <w:ind w:firstLine="720"/>
    </w:pPr>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25EFD"/>
    <w:rPr>
      <w:rFonts w:cs="Calibri"/>
      <w:sz w:val="22"/>
      <w:szCs w:val="22"/>
    </w:rPr>
  </w:style>
  <w:style w:type="paragraph" w:customStyle="1" w:styleId="BodyText1">
    <w:name w:val="BodyText 1"/>
    <w:basedOn w:val="Normal"/>
    <w:uiPriority w:val="1"/>
    <w:qFormat/>
    <w:rsid w:val="00322BB6"/>
    <w:pPr>
      <w:widowControl/>
      <w:autoSpaceDE/>
      <w:autoSpaceDN/>
      <w:adjustRightInd/>
      <w:spacing w:after="240" w:line="240" w:lineRule="auto"/>
      <w:ind w:firstLine="720"/>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866">
      <w:bodyDiv w:val="1"/>
      <w:marLeft w:val="0"/>
      <w:marRight w:val="0"/>
      <w:marTop w:val="0"/>
      <w:marBottom w:val="0"/>
      <w:divBdr>
        <w:top w:val="none" w:sz="0" w:space="0" w:color="auto"/>
        <w:left w:val="none" w:sz="0" w:space="0" w:color="auto"/>
        <w:bottom w:val="none" w:sz="0" w:space="0" w:color="auto"/>
        <w:right w:val="none" w:sz="0" w:space="0" w:color="auto"/>
      </w:divBdr>
    </w:div>
    <w:div w:id="5310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mabiotechnology.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nfo@pumabiotechnology.com" TargetMode="External"/><Relationship Id="rId11" Type="http://schemas.openxmlformats.org/officeDocument/2006/relationships/hyperlink" Target="mailto:ir@pumabiotechnology.com" TargetMode="External"/><Relationship Id="rId12" Type="http://schemas.openxmlformats.org/officeDocument/2006/relationships/hyperlink" Target="mailto:david.schull@russopartnersllc.com" TargetMode="Externa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2015-03-02T20:44:00Z</dcterms:created>
  <dcterms:modified xsi:type="dcterms:W3CDTF">2015-03-02T20:44:00Z</dcterms:modified>
</cp:coreProperties>
</file>