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CB" w:rsidRDefault="006E7E30">
      <w:pPr>
        <w:autoSpaceDE/>
        <w:autoSpaceDN/>
        <w:adjustRightInd/>
        <w:spacing w:before="99" w:after="0" w:line="240" w:lineRule="auto"/>
        <w:ind w:right="-20"/>
        <w:rPr>
          <w:rFonts w:ascii="Times New Roman" w:eastAsia="Times New Roman" w:hAnsi="Times New Roman" w:cs="Times New Roman"/>
          <w:sz w:val="20"/>
          <w:szCs w:val="24"/>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102FCB" w:rsidRDefault="00102FCB">
      <w:pPr>
        <w:autoSpaceDE/>
        <w:autoSpaceDN/>
        <w:adjustRightInd/>
        <w:spacing w:before="4" w:after="0" w:line="170" w:lineRule="exact"/>
        <w:rPr>
          <w:rFonts w:eastAsia="Times New Roman" w:cs="Times New Roman"/>
          <w:sz w:val="17"/>
          <w:szCs w:val="24"/>
        </w:rPr>
      </w:pPr>
    </w:p>
    <w:p w:rsidR="00102FCB" w:rsidRPr="00714C36" w:rsidRDefault="006E7E30" w:rsidP="00102FCB">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102FCB" w:rsidRDefault="00102FCB">
      <w:pPr>
        <w:autoSpaceDE/>
        <w:autoSpaceDN/>
        <w:adjustRightInd/>
        <w:spacing w:after="0" w:line="140" w:lineRule="exact"/>
        <w:rPr>
          <w:rFonts w:eastAsia="Times New Roman" w:cs="Times New Roman"/>
          <w:sz w:val="14"/>
          <w:szCs w:val="24"/>
        </w:rPr>
      </w:pPr>
    </w:p>
    <w:p w:rsidR="00102FCB" w:rsidRDefault="00102FCB">
      <w:pPr>
        <w:autoSpaceDE/>
        <w:autoSpaceDN/>
        <w:adjustRightInd/>
        <w:spacing w:after="0" w:line="200" w:lineRule="exact"/>
        <w:rPr>
          <w:rFonts w:eastAsia="Times New Roman" w:cs="Times New Roman"/>
          <w:sz w:val="28"/>
          <w:szCs w:val="24"/>
        </w:rPr>
      </w:pPr>
    </w:p>
    <w:p w:rsidR="00102FCB" w:rsidRDefault="006E7E30">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Puma Biotechnology Reports Second Quarter 2014</w:t>
      </w:r>
    </w:p>
    <w:p w:rsidR="00102FCB" w:rsidRDefault="006E7E30">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Financial Results </w:t>
      </w:r>
    </w:p>
    <w:p w:rsidR="00102FCB" w:rsidRDefault="00102FCB">
      <w:pPr>
        <w:autoSpaceDE/>
        <w:autoSpaceDN/>
        <w:adjustRightInd/>
        <w:spacing w:before="120" w:after="0" w:line="200" w:lineRule="exact"/>
        <w:jc w:val="center"/>
        <w:rPr>
          <w:rFonts w:ascii="Times New Roman" w:eastAsia="Times New Roman" w:hAnsi="Times New Roman" w:cs="Times New Roman"/>
          <w:b/>
          <w:sz w:val="28"/>
          <w:szCs w:val="24"/>
        </w:rPr>
      </w:pPr>
    </w:p>
    <w:p w:rsidR="00102FCB" w:rsidRPr="00990356" w:rsidRDefault="006E7E30" w:rsidP="00102FCB">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sidRPr="004B7561">
        <w:rPr>
          <w:rFonts w:ascii="Times New Roman" w:eastAsia="Times New Roman" w:hAnsi="Times New Roman" w:cs="Times New Roman"/>
          <w:b/>
        </w:rPr>
        <w:t xml:space="preserve">Aug. </w:t>
      </w:r>
      <w:r w:rsidRPr="0028496D">
        <w:rPr>
          <w:rFonts w:ascii="Times New Roman" w:eastAsia="Times New Roman" w:hAnsi="Times New Roman" w:cs="Times New Roman"/>
          <w:b/>
        </w:rPr>
        <w:t>11,</w:t>
      </w:r>
      <w:r w:rsidRPr="004B7561">
        <w:rPr>
          <w:rFonts w:ascii="Times New Roman" w:eastAsia="Times New Roman" w:hAnsi="Times New Roman" w:cs="Times New Roman"/>
          <w:b/>
        </w:rPr>
        <w:t xml:space="preserve"> 201</w:t>
      </w:r>
      <w:r>
        <w:rPr>
          <w:rFonts w:ascii="Times New Roman" w:eastAsia="Times New Roman" w:hAnsi="Times New Roman" w:cs="Times New Roman"/>
          <w:b/>
        </w:rPr>
        <w:t>4</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w:t>
      </w:r>
      <w:r w:rsidRPr="00A83034">
        <w:rPr>
          <w:rFonts w:ascii="Times New Roman" w:eastAsia="Times New Roman" w:hAnsi="Times New Roman" w:cs="Times New Roman"/>
          <w:spacing w:val="3"/>
        </w:rPr>
        <w:t xml:space="preserve"> </w:t>
      </w:r>
      <w:r w:rsidRPr="00A83034">
        <w:rPr>
          <w:rFonts w:ascii="Times New Roman" w:eastAsia="Times New Roman" w:hAnsi="Times New Roman" w:cs="Times New Roman"/>
        </w:rPr>
        <w:t>dev</w:t>
      </w:r>
      <w:r w:rsidRPr="00A83034">
        <w:rPr>
          <w:rFonts w:ascii="Times New Roman" w:eastAsia="Times New Roman" w:hAnsi="Times New Roman" w:cs="Times New Roman"/>
          <w:spacing w:val="-1"/>
        </w:rPr>
        <w:t>e</w:t>
      </w:r>
      <w:r w:rsidRPr="00A83034">
        <w:rPr>
          <w:rFonts w:ascii="Times New Roman" w:eastAsia="Times New Roman" w:hAnsi="Times New Roman" w:cs="Times New Roman"/>
        </w:rPr>
        <w:t>lo</w:t>
      </w:r>
      <w:r w:rsidRPr="00A83034">
        <w:rPr>
          <w:rFonts w:ascii="Times New Roman" w:eastAsia="Times New Roman" w:hAnsi="Times New Roman" w:cs="Times New Roman"/>
          <w:spacing w:val="-1"/>
        </w:rPr>
        <w:t>p</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ent</w:t>
      </w:r>
      <w:r w:rsidRPr="00A83034">
        <w:rPr>
          <w:rFonts w:ascii="Times New Roman" w:eastAsia="Times New Roman" w:hAnsi="Times New Roman" w:cs="Times New Roman"/>
          <w:spacing w:val="2"/>
        </w:rPr>
        <w:t xml:space="preserve"> </w:t>
      </w:r>
      <w:r w:rsidRPr="00A83034">
        <w:rPr>
          <w:rFonts w:ascii="Times New Roman" w:eastAsia="Times New Roman" w:hAnsi="Times New Roman" w:cs="Times New Roman"/>
        </w:rPr>
        <w:t>st</w:t>
      </w:r>
      <w:r w:rsidRPr="00A83034">
        <w:rPr>
          <w:rFonts w:ascii="Times New Roman" w:eastAsia="Times New Roman" w:hAnsi="Times New Roman" w:cs="Times New Roman"/>
          <w:spacing w:val="1"/>
        </w:rPr>
        <w:t>a</w:t>
      </w:r>
      <w:r w:rsidRPr="00A83034">
        <w:rPr>
          <w:rFonts w:ascii="Times New Roman" w:eastAsia="Times New Roman" w:hAnsi="Times New Roman" w:cs="Times New Roman"/>
        </w:rPr>
        <w:t>ge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announced financial results for the se</w:t>
      </w:r>
      <w:r>
        <w:rPr>
          <w:rFonts w:ascii="Times New Roman" w:eastAsia="Times New Roman" w:hAnsi="Times New Roman" w:cs="Times New Roman"/>
          <w:lang w:val="en-GB"/>
        </w:rPr>
        <w:t>cond quarter ended June 30, 2014</w:t>
      </w:r>
      <w:r w:rsidRPr="00990356">
        <w:rPr>
          <w:rFonts w:ascii="Times New Roman" w:eastAsia="Times New Roman" w:hAnsi="Times New Roman" w:cs="Times New Roman"/>
          <w:lang w:val="en-GB"/>
        </w:rPr>
        <w:t>.</w:t>
      </w:r>
    </w:p>
    <w:p w:rsidR="00102FCB" w:rsidRDefault="00102FCB" w:rsidP="00102FCB">
      <w:pPr>
        <w:autoSpaceDE/>
        <w:autoSpaceDN/>
        <w:adjustRightInd/>
        <w:spacing w:after="0" w:line="230" w:lineRule="auto"/>
        <w:ind w:right="53"/>
        <w:jc w:val="both"/>
        <w:rPr>
          <w:rFonts w:ascii="Times New Roman" w:eastAsia="Times New Roman" w:hAnsi="Times New Roman" w:cs="Times New Roman"/>
        </w:rPr>
      </w:pPr>
    </w:p>
    <w:p w:rsidR="00102FCB" w:rsidRDefault="006E7E30" w:rsidP="00102FCB">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 xml:space="preserve">second </w:t>
      </w:r>
      <w:r w:rsidRPr="000D108B">
        <w:rPr>
          <w:rFonts w:ascii="Times New Roman" w:eastAsia="Times New Roman" w:hAnsi="Times New Roman" w:cs="Times New Roman"/>
        </w:rPr>
        <w:t xml:space="preserve">quarter </w:t>
      </w:r>
      <w:r>
        <w:rPr>
          <w:rFonts w:ascii="Times New Roman" w:eastAsia="Times New Roman" w:hAnsi="Times New Roman" w:cs="Times New Roman"/>
        </w:rPr>
        <w:t xml:space="preserve">and first half of the year </w:t>
      </w:r>
      <w:r w:rsidRPr="000D108B">
        <w:rPr>
          <w:rFonts w:ascii="Times New Roman" w:eastAsia="Times New Roman" w:hAnsi="Times New Roman" w:cs="Times New Roman"/>
        </w:rPr>
        <w:t>201</w:t>
      </w:r>
      <w:r>
        <w:rPr>
          <w:rFonts w:ascii="Times New Roman" w:eastAsia="Times New Roman" w:hAnsi="Times New Roman" w:cs="Times New Roman"/>
        </w:rPr>
        <w:t>4</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second</w:t>
      </w:r>
      <w:r w:rsidRPr="000D108B">
        <w:rPr>
          <w:rFonts w:ascii="Times New Roman" w:eastAsia="Times New Roman" w:hAnsi="Times New Roman" w:cs="Times New Roman"/>
        </w:rPr>
        <w:t xml:space="preserve"> quarter </w:t>
      </w:r>
      <w:r>
        <w:rPr>
          <w:rFonts w:ascii="Times New Roman" w:eastAsia="Times New Roman" w:hAnsi="Times New Roman" w:cs="Times New Roman"/>
        </w:rPr>
        <w:t xml:space="preserve">and first half of the year </w:t>
      </w:r>
      <w:r w:rsidRPr="000D108B">
        <w:rPr>
          <w:rFonts w:ascii="Times New Roman" w:eastAsia="Times New Roman" w:hAnsi="Times New Roman" w:cs="Times New Roman"/>
        </w:rPr>
        <w:t>201</w:t>
      </w:r>
      <w:r>
        <w:rPr>
          <w:rFonts w:ascii="Times New Roman" w:eastAsia="Times New Roman" w:hAnsi="Times New Roman" w:cs="Times New Roman"/>
        </w:rPr>
        <w:t>3</w:t>
      </w:r>
      <w:r w:rsidRPr="000D108B">
        <w:rPr>
          <w:rFonts w:ascii="Times New Roman" w:eastAsia="Times New Roman" w:hAnsi="Times New Roman" w:cs="Times New Roman"/>
        </w:rPr>
        <w:t>.</w:t>
      </w:r>
    </w:p>
    <w:p w:rsidR="00102FCB" w:rsidRPr="000D108B" w:rsidRDefault="00102FCB" w:rsidP="00102FCB">
      <w:pPr>
        <w:autoSpaceDE/>
        <w:autoSpaceDN/>
        <w:adjustRightInd/>
        <w:spacing w:after="0" w:line="230" w:lineRule="auto"/>
        <w:ind w:right="53"/>
        <w:jc w:val="both"/>
        <w:rPr>
          <w:rFonts w:ascii="Times New Roman" w:eastAsia="Times New Roman" w:hAnsi="Times New Roman" w:cs="Times New Roman"/>
        </w:rPr>
      </w:pPr>
    </w:p>
    <w:p w:rsidR="00102FCB" w:rsidRDefault="006E7E30" w:rsidP="00102FCB">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applicable to common stock of $38.8 million, or $1.29 per share, for the second quarter of 2014, compared to a net loss of $12.6 million, or $0.44 per share, for the second quarter of 2013.  Net loss applicable to common stock for the first half of 2014 was $58.6 million, or $1.96 per share, compared to $</w:t>
      </w:r>
      <w:r w:rsidRPr="00960BE2">
        <w:rPr>
          <w:rFonts w:ascii="Times New Roman" w:eastAsia="Times New Roman" w:hAnsi="Times New Roman" w:cs="Times New Roman"/>
          <w:lang w:val="en-GB"/>
        </w:rPr>
        <w:t xml:space="preserve">24.4 </w:t>
      </w:r>
      <w:r>
        <w:rPr>
          <w:rFonts w:ascii="Times New Roman" w:eastAsia="Times New Roman" w:hAnsi="Times New Roman" w:cs="Times New Roman"/>
          <w:lang w:val="en-GB"/>
        </w:rPr>
        <w:t>million, or $</w:t>
      </w:r>
      <w:r w:rsidRPr="00960BE2">
        <w:rPr>
          <w:rFonts w:ascii="Times New Roman" w:eastAsia="Times New Roman" w:hAnsi="Times New Roman" w:cs="Times New Roman"/>
          <w:lang w:val="en-GB"/>
        </w:rPr>
        <w:t xml:space="preserve">0.85 </w:t>
      </w:r>
      <w:r>
        <w:rPr>
          <w:rFonts w:ascii="Times New Roman" w:eastAsia="Times New Roman" w:hAnsi="Times New Roman" w:cs="Times New Roman"/>
          <w:lang w:val="en-GB"/>
        </w:rPr>
        <w:t xml:space="preserve">per share, for the first half of 2013.  </w:t>
      </w:r>
    </w:p>
    <w:p w:rsidR="00102FCB" w:rsidRDefault="00102FCB" w:rsidP="00102FCB">
      <w:pPr>
        <w:autoSpaceDE/>
        <w:autoSpaceDN/>
        <w:adjustRightInd/>
        <w:spacing w:after="0" w:line="230" w:lineRule="auto"/>
        <w:ind w:right="53"/>
        <w:jc w:val="both"/>
        <w:rPr>
          <w:rFonts w:ascii="Times New Roman" w:eastAsia="Times New Roman" w:hAnsi="Times New Roman" w:cs="Times New Roman"/>
          <w:lang w:val="en-GB"/>
        </w:rPr>
      </w:pPr>
    </w:p>
    <w:p w:rsidR="00102FCB" w:rsidRPr="007506F3" w:rsidRDefault="006E7E30" w:rsidP="00102FCB">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Adjusted net loss applicable to common stock was $31.7 million, or $1.05 per share, for the second quarter of 2014, compared to adjusted net loss applicable to common stock of $11.3</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$0.39 per share, for the second quarter of 2013.  Adjusted n</w:t>
      </w:r>
      <w:r w:rsidRPr="007506F3">
        <w:rPr>
          <w:rFonts w:ascii="Times New Roman" w:eastAsia="Times New Roman" w:hAnsi="Times New Roman" w:cs="Times New Roman"/>
          <w:lang w:val="en-GB"/>
        </w:rPr>
        <w:t xml:space="preserve">et loss applicable to common stock for the </w:t>
      </w:r>
      <w:r>
        <w:rPr>
          <w:rFonts w:ascii="Times New Roman" w:eastAsia="Times New Roman" w:hAnsi="Times New Roman" w:cs="Times New Roman"/>
          <w:lang w:val="en-GB"/>
        </w:rPr>
        <w:t>first half of</w:t>
      </w:r>
      <w:r w:rsidRPr="007506F3">
        <w:rPr>
          <w:rFonts w:ascii="Times New Roman" w:eastAsia="Times New Roman" w:hAnsi="Times New Roman" w:cs="Times New Roman"/>
          <w:lang w:val="en-GB"/>
        </w:rPr>
        <w:t xml:space="preserve"> 201</w:t>
      </w:r>
      <w:r>
        <w:rPr>
          <w:rFonts w:ascii="Times New Roman" w:eastAsia="Times New Roman" w:hAnsi="Times New Roman" w:cs="Times New Roman"/>
          <w:lang w:val="en-GB"/>
        </w:rPr>
        <w:t>4</w:t>
      </w:r>
      <w:r w:rsidRPr="007506F3">
        <w:rPr>
          <w:rFonts w:ascii="Times New Roman" w:eastAsia="Times New Roman" w:hAnsi="Times New Roman" w:cs="Times New Roman"/>
          <w:lang w:val="en-GB"/>
        </w:rPr>
        <w:t xml:space="preserve"> wa</w:t>
      </w:r>
      <w:r>
        <w:rPr>
          <w:rFonts w:ascii="Times New Roman" w:eastAsia="Times New Roman" w:hAnsi="Times New Roman" w:cs="Times New Roman"/>
          <w:lang w:val="en-GB"/>
        </w:rPr>
        <w:t>s $46.3 million, or $1.55</w:t>
      </w:r>
      <w:r w:rsidRPr="007506F3">
        <w:rPr>
          <w:rFonts w:ascii="Times New Roman" w:eastAsia="Times New Roman" w:hAnsi="Times New Roman" w:cs="Times New Roman"/>
          <w:lang w:val="en-GB"/>
        </w:rPr>
        <w:t xml:space="preserve"> per share</w:t>
      </w:r>
      <w:r>
        <w:rPr>
          <w:rFonts w:ascii="Times New Roman" w:eastAsia="Times New Roman" w:hAnsi="Times New Roman" w:cs="Times New Roman"/>
          <w:lang w:val="en-GB"/>
        </w:rPr>
        <w:t>, compared to $</w:t>
      </w:r>
      <w:r w:rsidRPr="00C25784">
        <w:rPr>
          <w:rFonts w:ascii="Times New Roman" w:eastAsia="Times New Roman" w:hAnsi="Times New Roman" w:cs="Times New Roman"/>
          <w:lang w:val="en-GB"/>
        </w:rPr>
        <w:t>21.</w:t>
      </w:r>
      <w:r>
        <w:rPr>
          <w:rFonts w:ascii="Times New Roman" w:eastAsia="Times New Roman" w:hAnsi="Times New Roman" w:cs="Times New Roman"/>
          <w:lang w:val="en-GB"/>
        </w:rPr>
        <w:t>9</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$0.76 per share, for the first half of 2013.  A</w:t>
      </w:r>
      <w:r w:rsidRPr="007506F3">
        <w:rPr>
          <w:rFonts w:ascii="Times New Roman" w:eastAsia="Times New Roman" w:hAnsi="Times New Roman" w:cs="Times New Roman"/>
        </w:rPr>
        <w:t>djusted net loss applicable to common stock exclude</w:t>
      </w:r>
      <w:r>
        <w:rPr>
          <w:rFonts w:ascii="Times New Roman" w:eastAsia="Times New Roman" w:hAnsi="Times New Roman" w:cs="Times New Roman"/>
        </w:rPr>
        <w:t>s</w:t>
      </w:r>
      <w:r w:rsidRPr="007506F3">
        <w:rPr>
          <w:rFonts w:ascii="Times New Roman" w:eastAsia="Times New Roman" w:hAnsi="Times New Roman" w:cs="Times New Roman"/>
        </w:rPr>
        <w:t xml:space="preserve"> stock-based compensation expense</w:t>
      </w:r>
      <w:r>
        <w:rPr>
          <w:rFonts w:ascii="Times New Roman" w:eastAsia="Times New Roman" w:hAnsi="Times New Roman" w:cs="Times New Roman"/>
        </w:rPr>
        <w:t>, which represents a significant portion of overall expense and has no impact on the cash position of the Company.</w:t>
      </w:r>
      <w:r w:rsidRPr="007506F3">
        <w:rPr>
          <w:rFonts w:ascii="Times New Roman" w:eastAsia="Times New Roman" w:hAnsi="Times New Roman" w:cs="Times New Roman"/>
        </w:rPr>
        <w:t xml:space="preserve"> </w:t>
      </w:r>
      <w:r w:rsidR="0049209E">
        <w:rPr>
          <w:rFonts w:ascii="Times New Roman" w:eastAsia="Times New Roman" w:hAnsi="Times New Roman" w:cs="Times New Roman"/>
        </w:rPr>
        <w:t xml:space="preserve"> </w:t>
      </w:r>
      <w:r>
        <w:rPr>
          <w:rFonts w:ascii="Times New Roman" w:eastAsia="Times New Roman" w:hAnsi="Times New Roman" w:cs="Times New Roman"/>
        </w:rPr>
        <w:t>For a reconciliation of adjusted net loss applicable to common stock to reported net loss applicable to common stock, please see the financial tables at the end of this news release</w:t>
      </w:r>
      <w:r w:rsidR="008D2CF8">
        <w:rPr>
          <w:rFonts w:ascii="Times New Roman" w:eastAsia="Times New Roman" w:hAnsi="Times New Roman" w:cs="Times New Roman"/>
        </w:rPr>
        <w:t>.</w:t>
      </w:r>
      <w:r>
        <w:rPr>
          <w:rFonts w:ascii="Times New Roman" w:eastAsia="Times New Roman" w:hAnsi="Times New Roman" w:cs="Times New Roman"/>
        </w:rPr>
        <w:t xml:space="preserve">  </w:t>
      </w:r>
    </w:p>
    <w:p w:rsidR="00102FCB" w:rsidRDefault="00102FCB" w:rsidP="00102FCB">
      <w:pPr>
        <w:autoSpaceDE/>
        <w:autoSpaceDN/>
        <w:adjustRightInd/>
        <w:spacing w:after="0" w:line="230" w:lineRule="auto"/>
        <w:ind w:right="53"/>
        <w:jc w:val="both"/>
        <w:rPr>
          <w:rFonts w:ascii="Times New Roman" w:eastAsia="Times New Roman" w:hAnsi="Times New Roman" w:cs="Times New Roman"/>
          <w:lang w:val="en-GB"/>
        </w:rPr>
      </w:pPr>
    </w:p>
    <w:p w:rsidR="00102FCB" w:rsidRPr="00FC6466" w:rsidRDefault="006E7E30" w:rsidP="00102FCB">
      <w:pPr>
        <w:autoSpaceDE/>
        <w:autoSpaceDN/>
        <w:adjustRightInd/>
        <w:spacing w:after="0" w:line="230" w:lineRule="auto"/>
        <w:ind w:right="53"/>
        <w:jc w:val="both"/>
        <w:rPr>
          <w:rFonts w:ascii="Times New Roman" w:eastAsia="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second quarter of 2014</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17.4</w:t>
      </w:r>
      <w:r w:rsidRPr="00632DA7">
        <w:rPr>
          <w:rFonts w:ascii="Times New Roman" w:eastAsia="Times New Roman" w:hAnsi="Times New Roman" w:cs="Times New Roman"/>
          <w:lang w:val="en-GB"/>
        </w:rPr>
        <w:t xml:space="preserve"> million. Net cash used in operating activities for the </w:t>
      </w:r>
      <w:r>
        <w:rPr>
          <w:rFonts w:ascii="Times New Roman" w:eastAsia="Times New Roman" w:hAnsi="Times New Roman" w:cs="Times New Roman"/>
          <w:lang w:val="en-GB"/>
        </w:rPr>
        <w:t>first half of 2014</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34.4 million.  At June 30, 2014</w:t>
      </w:r>
      <w:r w:rsidRPr="00632DA7">
        <w:rPr>
          <w:rFonts w:ascii="Times New Roman" w:eastAsia="Times New Roman" w:hAnsi="Times New Roman" w:cs="Times New Roman"/>
          <w:lang w:val="en-GB"/>
        </w:rPr>
        <w:t xml:space="preserve">, Puma had cash and cash equivalents of </w:t>
      </w:r>
      <w:r>
        <w:rPr>
          <w:rFonts w:ascii="Times New Roman" w:eastAsia="Times New Roman" w:hAnsi="Times New Roman" w:cs="Times New Roman"/>
          <w:lang w:val="en-GB"/>
        </w:rPr>
        <w:t>$55.4</w:t>
      </w:r>
      <w:r w:rsidRPr="00632DA7">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$123.0 million,</w:t>
      </w:r>
      <w:r w:rsidRPr="00632DA7">
        <w:rPr>
          <w:rFonts w:ascii="Times New Roman" w:eastAsia="Times New Roman" w:hAnsi="Times New Roman" w:cs="Times New Roman"/>
          <w:lang w:val="en-GB"/>
        </w:rPr>
        <w:t xml:space="preserve"> compared to </w:t>
      </w:r>
      <w:r>
        <w:rPr>
          <w:rFonts w:ascii="Times New Roman" w:eastAsia="Times New Roman" w:hAnsi="Times New Roman" w:cs="Times New Roman"/>
          <w:lang w:val="en-GB"/>
        </w:rPr>
        <w:t xml:space="preserve">cash and cash equivalents of </w:t>
      </w:r>
      <w:r w:rsidRPr="00632DA7">
        <w:rPr>
          <w:rFonts w:ascii="Times New Roman" w:eastAsia="Times New Roman" w:hAnsi="Times New Roman" w:cs="Times New Roman"/>
          <w:lang w:val="en-GB"/>
        </w:rPr>
        <w:t>$</w:t>
      </w:r>
      <w:r>
        <w:rPr>
          <w:rFonts w:ascii="Times New Roman" w:eastAsia="Times New Roman" w:hAnsi="Times New Roman" w:cs="Times New Roman"/>
          <w:lang w:val="en-GB"/>
        </w:rPr>
        <w:t>43.0 million and marketable securities of $40.9 million at December 31, 2013</w:t>
      </w:r>
      <w:r w:rsidRPr="00A2029B">
        <w:rPr>
          <w:rFonts w:ascii="Times New Roman" w:eastAsia="Times New Roman" w:hAnsi="Times New Roman" w:cs="Times New Roman"/>
          <w:lang w:val="en-GB"/>
        </w:rPr>
        <w:t xml:space="preserve">. </w:t>
      </w:r>
      <w:r w:rsidRPr="00A2029B">
        <w:rPr>
          <w:rFonts w:ascii="Times New Roman" w:hAnsi="Times New Roman" w:cs="Times New Roman"/>
        </w:rPr>
        <w:t>Puma's current level of cash and cash equivalents</w:t>
      </w:r>
      <w:r w:rsidR="0028496D">
        <w:rPr>
          <w:rFonts w:ascii="Times New Roman" w:hAnsi="Times New Roman" w:cs="Times New Roman"/>
        </w:rPr>
        <w:t xml:space="preserve"> and marketable securities</w:t>
      </w:r>
      <w:r w:rsidRPr="00A2029B">
        <w:rPr>
          <w:rFonts w:ascii="Times New Roman" w:hAnsi="Times New Roman" w:cs="Times New Roman"/>
        </w:rPr>
        <w:t xml:space="preserve"> includes net proceeds of approximately $129.4 million from a public offering of the Company's common stock, which was completed in February 2014. </w:t>
      </w:r>
    </w:p>
    <w:p w:rsidR="00102FCB" w:rsidRDefault="00102FCB" w:rsidP="00102FCB">
      <w:pPr>
        <w:autoSpaceDE/>
        <w:autoSpaceDN/>
        <w:adjustRightInd/>
        <w:spacing w:after="0" w:line="230" w:lineRule="auto"/>
        <w:ind w:right="53"/>
        <w:jc w:val="both"/>
        <w:rPr>
          <w:rFonts w:ascii="Times New Roman" w:eastAsia="Times New Roman" w:hAnsi="Times New Roman" w:cs="Times New Roman"/>
          <w:lang w:val="en-GB"/>
        </w:rPr>
      </w:pPr>
    </w:p>
    <w:p w:rsidR="00102FCB" w:rsidRDefault="006E7E30" w:rsidP="00102FCB">
      <w:pPr>
        <w:autoSpaceDE/>
        <w:autoSpaceDN/>
        <w:adjustRightInd/>
        <w:spacing w:after="0" w:line="230"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“During the second quarter of 2014, Puma achieved a number of key clinical milestones, including the presentation of Phase II </w:t>
      </w:r>
      <w:r w:rsidRPr="004E05F6">
        <w:rPr>
          <w:rFonts w:ascii="Times New Roman" w:eastAsia="Times New Roman" w:hAnsi="Times New Roman" w:cs="Times New Roman"/>
          <w:lang w:val="en-GB"/>
        </w:rPr>
        <w:t xml:space="preserve">clinical trial </w:t>
      </w:r>
      <w:r>
        <w:rPr>
          <w:rFonts w:ascii="Times New Roman" w:eastAsia="Times New Roman" w:hAnsi="Times New Roman" w:cs="Times New Roman"/>
          <w:lang w:val="en-GB"/>
        </w:rPr>
        <w:t>data for</w:t>
      </w:r>
      <w:r w:rsidRPr="004E05F6">
        <w:rPr>
          <w:rFonts w:ascii="Times New Roman" w:eastAsia="Times New Roman" w:hAnsi="Times New Roman" w:cs="Times New Roman"/>
          <w:lang w:val="en-GB"/>
        </w:rPr>
        <w:t xml:space="preserve"> PB272 for the neoadjuvant treatment of breast cancer (I-SPY 2 TRIAL), </w:t>
      </w:r>
      <w:r>
        <w:rPr>
          <w:rFonts w:ascii="Times New Roman" w:eastAsia="Times New Roman" w:hAnsi="Times New Roman" w:cs="Times New Roman"/>
          <w:lang w:val="en-GB"/>
        </w:rPr>
        <w:t>the presentation of Phase II clinical trial data for PB272 for the treatment of HER2 positive metastatic breast cancer that has metastasized to the brain and the</w:t>
      </w:r>
      <w:r w:rsidRPr="004E05F6">
        <w:rPr>
          <w:rFonts w:ascii="Times New Roman" w:eastAsia="Times New Roman" w:hAnsi="Times New Roman" w:cs="Times New Roman"/>
          <w:lang w:val="en-GB"/>
        </w:rPr>
        <w:t xml:space="preserve"> expan</w:t>
      </w:r>
      <w:r>
        <w:rPr>
          <w:rFonts w:ascii="Times New Roman" w:eastAsia="Times New Roman" w:hAnsi="Times New Roman" w:cs="Times New Roman"/>
          <w:lang w:val="en-GB"/>
        </w:rPr>
        <w:t>sion of</w:t>
      </w:r>
      <w:r w:rsidRPr="004E05F6">
        <w:rPr>
          <w:rFonts w:ascii="Times New Roman" w:eastAsia="Times New Roman" w:hAnsi="Times New Roman" w:cs="Times New Roman"/>
          <w:lang w:val="en-GB"/>
        </w:rPr>
        <w:t xml:space="preserve"> the first cohort from the Phase II clinical trial of PB272 as a single agent in patients with solid tumors who have an activating HER2 mutation (basket trial).</w:t>
      </w:r>
      <w:r>
        <w:rPr>
          <w:rFonts w:ascii="Times New Roman" w:eastAsia="Times New Roman" w:hAnsi="Times New Roman" w:cs="Times New Roman"/>
          <w:lang w:val="en-GB"/>
        </w:rPr>
        <w:t xml:space="preserve">  Even more notably, in July 2014 we reported positive top line data from our Phase III trial of PB272 for the extended adjuvant treatment of breast cancer (ExteNET trial).  </w:t>
      </w:r>
      <w:r>
        <w:rPr>
          <w:rFonts w:ascii="Times New Roman" w:eastAsia="Times New Roman" w:hAnsi="Times New Roman" w:cs="Times New Roman"/>
          <w:bCs/>
          <w:lang w:val="en-GB"/>
        </w:rPr>
        <w:t>This represents the first trial with a HER2 targeted agent that has shown a statistically significant benefit in the extended adjuvant setting, which we believe provides a meaningful point of differentiation for neratinib in the treatment of HER2 positive breast cancer.  We look forward to proceeding with the regulatory filings for PB272 in this indication currently anticipated in the first half of 2015.</w:t>
      </w:r>
    </w:p>
    <w:p w:rsidR="00102FCB" w:rsidRDefault="00102FCB" w:rsidP="00102FCB">
      <w:pPr>
        <w:autoSpaceDE/>
        <w:autoSpaceDN/>
        <w:adjustRightInd/>
        <w:spacing w:after="0" w:line="230" w:lineRule="auto"/>
        <w:ind w:right="53"/>
        <w:jc w:val="both"/>
        <w:rPr>
          <w:rFonts w:ascii="Times New Roman" w:eastAsia="Times New Roman" w:hAnsi="Times New Roman" w:cs="Times New Roman"/>
          <w:lang w:val="en-GB"/>
        </w:rPr>
      </w:pPr>
    </w:p>
    <w:p w:rsidR="00102FCB" w:rsidRDefault="006E7E30" w:rsidP="00102FCB">
      <w:pPr>
        <w:autoSpaceDE/>
        <w:autoSpaceDN/>
        <w:adjustRightInd/>
        <w:spacing w:after="0" w:line="230"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addition,” noted Mr. Auerbach, “we expect to </w:t>
      </w:r>
      <w:r w:rsidRPr="004667BC">
        <w:rPr>
          <w:rFonts w:ascii="Times New Roman" w:eastAsia="Times New Roman" w:hAnsi="Times New Roman" w:cs="Times New Roman"/>
          <w:lang w:val="en-GB"/>
        </w:rPr>
        <w:t xml:space="preserve">(i) complete the ongoing Phase II clinical trial of PB272 in combination with temsirolimus in fourth-line HER2-positive metastatic breast cancer, which we anticipate reporting additional data in the second half of 2014; (ii) initiate a Phase III trial of the combination of PB272 plus temsirolimus in the second half of 2014; (iii) complete the ongoing Phase II trial of PB272 in patients with </w:t>
      </w:r>
      <w:r w:rsidRPr="004667BC">
        <w:rPr>
          <w:rFonts w:ascii="Times New Roman" w:eastAsia="Times New Roman" w:hAnsi="Times New Roman" w:cs="Times New Roman"/>
          <w:lang w:val="en-GB"/>
        </w:rPr>
        <w:lastRenderedPageBreak/>
        <w:t xml:space="preserve">HER2-positive metastatic breast cancer that has metastasized to the brain, with the potential to report data in 2014; (iv) complete our ongoing Phase II trial of PB272 as a neoadjuvant treatment for patients with HER2-positive breast cancer (NSABP FB-7), which we expect to report data from in </w:t>
      </w:r>
      <w:r>
        <w:rPr>
          <w:rFonts w:ascii="Times New Roman" w:eastAsia="Times New Roman" w:hAnsi="Times New Roman" w:cs="Times New Roman"/>
          <w:lang w:val="en-GB"/>
        </w:rPr>
        <w:t>the second half of 2014</w:t>
      </w:r>
      <w:r w:rsidRPr="004667BC">
        <w:rPr>
          <w:rFonts w:ascii="Times New Roman" w:eastAsia="Times New Roman" w:hAnsi="Times New Roman" w:cs="Times New Roman"/>
          <w:lang w:val="en-GB"/>
        </w:rPr>
        <w:t>; (v) report data from our Phase II trial of PB272 in patients with HER2-mutated non-small cell lung cancer in 2014; (vi) continue our Phase II trial of PB272 in HER2-negative breast cancer patients who have a HER2 mutation, which we also have the potential to report initial data from in 2014; (vii) continue our Phase II basket trial of PB272 in patients with solid tumors wi</w:t>
      </w:r>
      <w:r>
        <w:rPr>
          <w:rFonts w:ascii="Times New Roman" w:eastAsia="Times New Roman" w:hAnsi="Times New Roman" w:cs="Times New Roman"/>
          <w:lang w:val="en-GB"/>
        </w:rPr>
        <w:t xml:space="preserve">th an activating HER2 mutation; </w:t>
      </w:r>
      <w:r w:rsidRPr="004667BC">
        <w:rPr>
          <w:rFonts w:ascii="Times New Roman" w:eastAsia="Times New Roman" w:hAnsi="Times New Roman" w:cs="Times New Roman"/>
          <w:lang w:val="en-GB"/>
        </w:rPr>
        <w:t>(viii) complete our ongoing Phase II randomized trial of PB272 as a first-line treatment for HER2-po</w:t>
      </w:r>
      <w:r>
        <w:rPr>
          <w:rFonts w:ascii="Times New Roman" w:eastAsia="Times New Roman" w:hAnsi="Times New Roman" w:cs="Times New Roman"/>
          <w:lang w:val="en-GB"/>
        </w:rPr>
        <w:t xml:space="preserve">sitive metastatic breast cancer </w:t>
      </w:r>
      <w:r w:rsidRPr="00B70A75">
        <w:rPr>
          <w:rFonts w:ascii="Times New Roman" w:eastAsia="Times New Roman" w:hAnsi="Times New Roman" w:cs="Times New Roman"/>
          <w:lang w:val="en-GB"/>
        </w:rPr>
        <w:t>in the second half of 2014</w:t>
      </w:r>
      <w:r w:rsidRPr="004667BC">
        <w:rPr>
          <w:rFonts w:ascii="Times New Roman" w:eastAsia="Times New Roman" w:hAnsi="Times New Roman" w:cs="Times New Roman"/>
          <w:lang w:val="en-GB"/>
        </w:rPr>
        <w:t xml:space="preserve">; and (ix) </w:t>
      </w:r>
      <w:r>
        <w:rPr>
          <w:rFonts w:ascii="Times New Roman" w:eastAsia="Times New Roman" w:hAnsi="Times New Roman" w:cs="Times New Roman"/>
          <w:lang w:val="en-GB"/>
        </w:rPr>
        <w:t xml:space="preserve">potentially report data from </w:t>
      </w:r>
      <w:r w:rsidRPr="004667BC">
        <w:rPr>
          <w:rFonts w:ascii="Times New Roman" w:eastAsia="Times New Roman" w:hAnsi="Times New Roman" w:cs="Times New Roman"/>
          <w:lang w:val="en-GB"/>
        </w:rPr>
        <w:t xml:space="preserve">our Phase III trial of PB272 as an </w:t>
      </w:r>
      <w:r>
        <w:rPr>
          <w:rFonts w:ascii="Times New Roman" w:eastAsia="Times New Roman" w:hAnsi="Times New Roman" w:cs="Times New Roman"/>
          <w:lang w:val="en-GB"/>
        </w:rPr>
        <w:t xml:space="preserve">extended </w:t>
      </w:r>
      <w:r w:rsidRPr="004667BC">
        <w:rPr>
          <w:rFonts w:ascii="Times New Roman" w:eastAsia="Times New Roman" w:hAnsi="Times New Roman" w:cs="Times New Roman"/>
          <w:lang w:val="en-GB"/>
        </w:rPr>
        <w:t xml:space="preserve">adjuvant treatment for HER2-positive breast cancer, which we </w:t>
      </w:r>
      <w:r>
        <w:rPr>
          <w:rFonts w:ascii="Times New Roman" w:eastAsia="Times New Roman" w:hAnsi="Times New Roman" w:cs="Times New Roman"/>
          <w:lang w:val="en-GB"/>
        </w:rPr>
        <w:t>have the potential to</w:t>
      </w:r>
      <w:r w:rsidRPr="004667BC">
        <w:rPr>
          <w:rFonts w:ascii="Times New Roman" w:eastAsia="Times New Roman" w:hAnsi="Times New Roman" w:cs="Times New Roman"/>
          <w:lang w:val="en-GB"/>
        </w:rPr>
        <w:t xml:space="preserve"> report data from</w:t>
      </w:r>
      <w:r>
        <w:rPr>
          <w:rFonts w:ascii="Times New Roman" w:eastAsia="Times New Roman" w:hAnsi="Times New Roman" w:cs="Times New Roman"/>
          <w:lang w:val="en-GB"/>
        </w:rPr>
        <w:t xml:space="preserve"> in the second half of 2014.</w:t>
      </w:r>
      <w:r w:rsidRPr="004667BC">
        <w:rPr>
          <w:rFonts w:ascii="Times New Roman" w:eastAsia="Times New Roman" w:hAnsi="Times New Roman" w:cs="Times New Roman"/>
          <w:lang w:val="en-GB"/>
        </w:rPr>
        <w:t xml:space="preserve">” </w:t>
      </w:r>
    </w:p>
    <w:p w:rsidR="00102FCB" w:rsidRDefault="00102FCB" w:rsidP="00102FCB">
      <w:pPr>
        <w:widowControl/>
        <w:autoSpaceDE/>
        <w:autoSpaceDN/>
        <w:adjustRightInd/>
        <w:spacing w:after="0" w:line="240" w:lineRule="auto"/>
        <w:rPr>
          <w:rFonts w:ascii="Times New Roman" w:eastAsia="Times New Roman" w:hAnsi="Times New Roman" w:cs="Times New Roman"/>
          <w:b/>
          <w:lang w:val="en-GB"/>
        </w:rPr>
      </w:pPr>
    </w:p>
    <w:p w:rsidR="00102FCB" w:rsidRPr="00341614" w:rsidRDefault="006E7E30" w:rsidP="00102FCB">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102FCB" w:rsidRDefault="00102FCB" w:rsidP="00102FCB">
      <w:pPr>
        <w:widowControl/>
        <w:autoSpaceDE/>
        <w:autoSpaceDN/>
        <w:adjustRightInd/>
        <w:spacing w:after="0" w:line="240" w:lineRule="auto"/>
        <w:rPr>
          <w:rFonts w:ascii="Times New Roman" w:eastAsia="Times New Roman" w:hAnsi="Times New Roman" w:cs="Times New Roman"/>
          <w:lang w:val="en-GB"/>
        </w:rPr>
      </w:pPr>
    </w:p>
    <w:p w:rsidR="00102FCB" w:rsidRDefault="006E7E30" w:rsidP="00102FCB">
      <w:pPr>
        <w:autoSpaceDE/>
        <w:adjustRightInd/>
        <w:spacing w:after="0" w:line="228" w:lineRule="auto"/>
        <w:ind w:right="53"/>
        <w:jc w:val="both"/>
        <w:rPr>
          <w:rFonts w:ascii="Times New Roman" w:eastAsia="Times New Roman" w:hAnsi="Times New Roman" w:cs="Times New Roman"/>
        </w:rPr>
      </w:pPr>
      <w:r w:rsidRPr="00341614">
        <w:rPr>
          <w:rFonts w:ascii="Times New Roman" w:eastAsia="Times New Roman" w:hAnsi="Times New Roman" w:cs="Times New Roman"/>
          <w:lang w:val="en-GB"/>
        </w:rPr>
        <w:t>Based on GAAP, operating expenses were $</w:t>
      </w:r>
      <w:r>
        <w:rPr>
          <w:rFonts w:ascii="Times New Roman" w:eastAsia="Times New Roman" w:hAnsi="Times New Roman" w:cs="Times New Roman"/>
          <w:lang w:val="en-GB"/>
        </w:rPr>
        <w:t xml:space="preserve">38.9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12.7</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O</w:t>
      </w:r>
      <w:r w:rsidRPr="00341614">
        <w:rPr>
          <w:rFonts w:ascii="Times New Roman" w:eastAsia="Times New Roman" w:hAnsi="Times New Roman" w:cs="Times New Roman"/>
          <w:lang w:val="en-GB"/>
        </w:rPr>
        <w:t xml:space="preserve">perating expenses </w:t>
      </w:r>
      <w:r>
        <w:rPr>
          <w:rFonts w:ascii="Times New Roman" w:eastAsia="Times New Roman" w:hAnsi="Times New Roman" w:cs="Times New Roman"/>
          <w:lang w:val="en-GB"/>
        </w:rPr>
        <w:t>for the first half of 2014 were $58.7 million compared to $</w:t>
      </w:r>
      <w:r w:rsidRPr="00DE080D">
        <w:rPr>
          <w:rFonts w:ascii="Times New Roman" w:eastAsia="Times New Roman" w:hAnsi="Times New Roman" w:cs="Times New Roman"/>
          <w:lang w:val="en-GB"/>
        </w:rPr>
        <w:t xml:space="preserve">24.5 </w:t>
      </w:r>
      <w:r>
        <w:rPr>
          <w:rFonts w:ascii="Times New Roman" w:eastAsia="Times New Roman" w:hAnsi="Times New Roman" w:cs="Times New Roman"/>
          <w:lang w:val="en-GB"/>
        </w:rPr>
        <w:t>million for the first half of 2013</w:t>
      </w:r>
      <w:r w:rsidR="0049209E">
        <w:rPr>
          <w:rFonts w:ascii="Times New Roman" w:eastAsia="Times New Roman" w:hAnsi="Times New Roman" w:cs="Times New Roman"/>
          <w:lang w:val="en-GB"/>
        </w:rPr>
        <w:t>.</w:t>
      </w:r>
    </w:p>
    <w:p w:rsidR="00102FCB" w:rsidRDefault="00102FCB" w:rsidP="00102FCB">
      <w:pPr>
        <w:widowControl/>
        <w:autoSpaceDE/>
        <w:autoSpaceDN/>
        <w:adjustRightInd/>
        <w:spacing w:after="0" w:line="240" w:lineRule="auto"/>
        <w:rPr>
          <w:rFonts w:ascii="Times New Roman" w:eastAsia="Times New Roman" w:hAnsi="Times New Roman" w:cs="Times New Roman"/>
          <w:lang w:val="en-GB"/>
        </w:rPr>
      </w:pPr>
    </w:p>
    <w:p w:rsidR="00102FCB" w:rsidRDefault="006E7E30" w:rsidP="00102FCB">
      <w:pPr>
        <w:autoSpaceDE/>
        <w:adjustRightInd/>
        <w:spacing w:after="0" w:line="228" w:lineRule="auto"/>
        <w:ind w:right="53"/>
        <w:jc w:val="both"/>
        <w:rPr>
          <w:rFonts w:ascii="Times New Roman" w:eastAsia="Times New Roman" w:hAnsi="Times New Roman" w:cs="Times New Roman"/>
        </w:rPr>
      </w:pPr>
      <w:r w:rsidRPr="00341614">
        <w:rPr>
          <w:rFonts w:ascii="Times New Roman" w:eastAsia="Times New Roman" w:hAnsi="Times New Roman" w:cs="Times New Roman"/>
          <w:lang w:val="en-GB"/>
        </w:rPr>
        <w:t>Adjusted operating expenses were $</w:t>
      </w:r>
      <w:r>
        <w:rPr>
          <w:rFonts w:ascii="Times New Roman" w:eastAsia="Times New Roman" w:hAnsi="Times New Roman" w:cs="Times New Roman"/>
          <w:lang w:val="en-GB"/>
        </w:rPr>
        <w:t>31.7</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 xml:space="preserve">second quarter of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sidRPr="00DE080D">
        <w:rPr>
          <w:rFonts w:ascii="Times New Roman" w:eastAsia="Times New Roman" w:hAnsi="Times New Roman" w:cs="Times New Roman"/>
          <w:lang w:val="en-GB"/>
        </w:rPr>
        <w:t>11.</w:t>
      </w:r>
      <w:r>
        <w:rPr>
          <w:rFonts w:ascii="Times New Roman" w:eastAsia="Times New Roman" w:hAnsi="Times New Roman" w:cs="Times New Roman"/>
          <w:lang w:val="en-GB"/>
        </w:rPr>
        <w:t>3</w:t>
      </w:r>
      <w:r w:rsidRPr="00DE080D">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 xml:space="preserve">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Adjusted operating expenses in </w:t>
      </w:r>
      <w:r>
        <w:rPr>
          <w:rFonts w:ascii="Times New Roman" w:eastAsia="Times New Roman" w:hAnsi="Times New Roman" w:cs="Times New Roman"/>
          <w:lang w:val="en-GB"/>
        </w:rPr>
        <w:t xml:space="preserve">both quarters exclude stock-based compensation expenses.  </w:t>
      </w:r>
      <w:r w:rsidRPr="00341614">
        <w:rPr>
          <w:rFonts w:ascii="Times New Roman" w:eastAsia="Times New Roman" w:hAnsi="Times New Roman" w:cs="Times New Roman"/>
          <w:lang w:val="en-GB"/>
        </w:rPr>
        <w:t xml:space="preserve">Adjusted operating expenses </w:t>
      </w:r>
      <w:r>
        <w:rPr>
          <w:rFonts w:ascii="Times New Roman" w:eastAsia="Times New Roman" w:hAnsi="Times New Roman" w:cs="Times New Roman"/>
          <w:lang w:val="en-GB"/>
        </w:rPr>
        <w:t>for the first half of 2014 were $46.4 million, compared to $21.9 million for the first half of 2013.  For a reconciliation of adjusted operating expenses to reported operating expenses, please see the financial tables at the end of this news release.</w:t>
      </w:r>
    </w:p>
    <w:p w:rsidR="00102FCB" w:rsidRDefault="00102FCB" w:rsidP="00102FCB">
      <w:pPr>
        <w:widowControl/>
        <w:autoSpaceDE/>
        <w:autoSpaceDN/>
        <w:adjustRightInd/>
        <w:spacing w:after="0" w:line="240" w:lineRule="auto"/>
        <w:rPr>
          <w:rFonts w:ascii="Times New Roman" w:eastAsia="Times New Roman" w:hAnsi="Times New Roman" w:cs="Times New Roman"/>
          <w:lang w:val="en-GB"/>
        </w:rPr>
      </w:pPr>
    </w:p>
    <w:p w:rsidR="00102FCB" w:rsidRPr="00D83CB0" w:rsidRDefault="006E7E30" w:rsidP="00102FCB">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102FCB" w:rsidRDefault="00102FCB" w:rsidP="00102FCB">
      <w:pPr>
        <w:widowControl/>
        <w:autoSpaceDE/>
        <w:autoSpaceDN/>
        <w:adjustRightInd/>
        <w:spacing w:after="0" w:line="240" w:lineRule="auto"/>
        <w:jc w:val="both"/>
        <w:rPr>
          <w:rFonts w:ascii="Times New Roman" w:eastAsia="Times New Roman" w:hAnsi="Times New Roman" w:cs="Times New Roman"/>
          <w:lang w:val="en-GB"/>
        </w:rPr>
      </w:pPr>
    </w:p>
    <w:p w:rsidR="00102FCB" w:rsidRDefault="006E7E30" w:rsidP="00102FCB">
      <w:pPr>
        <w:autoSpaceDE/>
        <w:adjustRightInd/>
        <w:spacing w:after="0" w:line="228" w:lineRule="auto"/>
        <w:ind w:right="53"/>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general and administrative expenses were $</w:t>
      </w:r>
      <w:r>
        <w:rPr>
          <w:rFonts w:ascii="Times New Roman" w:eastAsia="Times New Roman" w:hAnsi="Times New Roman" w:cs="Times New Roman"/>
          <w:lang w:val="en-GB"/>
        </w:rPr>
        <w:t>3.9</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2.3</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 xml:space="preserve">second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G</w:t>
      </w:r>
      <w:r w:rsidRPr="00341614">
        <w:rPr>
          <w:rFonts w:ascii="Times New Roman" w:eastAsia="Times New Roman" w:hAnsi="Times New Roman" w:cs="Times New Roman"/>
          <w:lang w:val="en-GB"/>
        </w:rPr>
        <w:t xml:space="preserve">eneral and administrative expenses </w:t>
      </w:r>
      <w:r>
        <w:rPr>
          <w:rFonts w:ascii="Times New Roman" w:eastAsia="Times New Roman" w:hAnsi="Times New Roman" w:cs="Times New Roman"/>
          <w:lang w:val="en-GB"/>
        </w:rPr>
        <w:t xml:space="preserve">for the first half of 2014 were $7.4 million compared to $4.5 million for the first half of 2013.  </w:t>
      </w:r>
    </w:p>
    <w:p w:rsidR="0049209E" w:rsidRDefault="0049209E" w:rsidP="00102FCB">
      <w:pPr>
        <w:autoSpaceDE/>
        <w:adjustRightInd/>
        <w:spacing w:after="0" w:line="228" w:lineRule="auto"/>
        <w:ind w:right="53"/>
        <w:jc w:val="both"/>
        <w:rPr>
          <w:rFonts w:ascii="Times New Roman" w:eastAsia="Times New Roman" w:hAnsi="Times New Roman" w:cs="Times New Roman"/>
        </w:rPr>
      </w:pPr>
    </w:p>
    <w:p w:rsidR="00102FCB" w:rsidRPr="00341614" w:rsidRDefault="006E7E30" w:rsidP="00102FCB">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Adjusted general and administrative expenses were $</w:t>
      </w:r>
      <w:r>
        <w:rPr>
          <w:rFonts w:ascii="Times New Roman" w:eastAsia="Times New Roman" w:hAnsi="Times New Roman" w:cs="Times New Roman"/>
          <w:lang w:val="en-GB"/>
        </w:rPr>
        <w:t>2.5</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 xml:space="preserve">second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compared to</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1.9</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 xml:space="preserve">Adjusted general and administrative expenses </w:t>
      </w:r>
      <w:r w:rsidRPr="00A86814">
        <w:rPr>
          <w:rFonts w:ascii="Times New Roman" w:eastAsia="Times New Roman" w:hAnsi="Times New Roman" w:cs="Times New Roman"/>
          <w:lang w:val="en-GB"/>
        </w:rPr>
        <w:t>for the first half of 201</w:t>
      </w:r>
      <w:r>
        <w:rPr>
          <w:rFonts w:ascii="Times New Roman" w:eastAsia="Times New Roman" w:hAnsi="Times New Roman" w:cs="Times New Roman"/>
          <w:lang w:val="en-GB"/>
        </w:rPr>
        <w:t>4</w:t>
      </w:r>
      <w:r w:rsidRPr="00A86814">
        <w:rPr>
          <w:rFonts w:ascii="Times New Roman" w:eastAsia="Times New Roman" w:hAnsi="Times New Roman" w:cs="Times New Roman"/>
          <w:lang w:val="en-GB"/>
        </w:rPr>
        <w:t xml:space="preserve"> were $</w:t>
      </w:r>
      <w:r>
        <w:rPr>
          <w:rFonts w:ascii="Times New Roman" w:eastAsia="Times New Roman" w:hAnsi="Times New Roman" w:cs="Times New Roman"/>
          <w:lang w:val="en-GB"/>
        </w:rPr>
        <w:t xml:space="preserve">4.7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3.6</w:t>
      </w:r>
      <w:r w:rsidRPr="00A86814">
        <w:rPr>
          <w:rFonts w:ascii="Times New Roman" w:eastAsia="Times New Roman" w:hAnsi="Times New Roman" w:cs="Times New Roman"/>
          <w:lang w:val="en-GB"/>
        </w:rPr>
        <w:t xml:space="preserve"> million for the first half of 201</w:t>
      </w:r>
      <w:r>
        <w:rPr>
          <w:rFonts w:ascii="Times New Roman" w:eastAsia="Times New Roman" w:hAnsi="Times New Roman" w:cs="Times New Roman"/>
          <w:lang w:val="en-GB"/>
        </w:rPr>
        <w:t>3</w:t>
      </w:r>
      <w:r w:rsidRPr="00A86814">
        <w:rPr>
          <w:rFonts w:ascii="Times New Roman" w:eastAsia="Times New Roman" w:hAnsi="Times New Roman" w:cs="Times New Roman"/>
          <w:lang w:val="en-GB"/>
        </w:rPr>
        <w:t>.</w:t>
      </w:r>
    </w:p>
    <w:p w:rsidR="00102FCB" w:rsidRDefault="00102FCB" w:rsidP="00102FCB">
      <w:pPr>
        <w:widowControl/>
        <w:autoSpaceDE/>
        <w:autoSpaceDN/>
        <w:adjustRightInd/>
        <w:spacing w:after="0" w:line="240" w:lineRule="auto"/>
        <w:jc w:val="both"/>
        <w:rPr>
          <w:rFonts w:ascii="Times New Roman" w:eastAsia="Times New Roman" w:hAnsi="Times New Roman" w:cs="Times New Roman"/>
          <w:lang w:val="en-GB"/>
        </w:rPr>
      </w:pPr>
    </w:p>
    <w:p w:rsidR="00102FCB" w:rsidRPr="00D83CB0" w:rsidRDefault="006E7E30" w:rsidP="00102FCB">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102FCB" w:rsidRDefault="00102FCB" w:rsidP="00102FCB">
      <w:pPr>
        <w:widowControl/>
        <w:autoSpaceDE/>
        <w:autoSpaceDN/>
        <w:adjustRightInd/>
        <w:spacing w:after="0" w:line="240" w:lineRule="auto"/>
        <w:jc w:val="both"/>
        <w:rPr>
          <w:rFonts w:ascii="Times New Roman" w:eastAsia="Times New Roman" w:hAnsi="Times New Roman" w:cs="Times New Roman"/>
          <w:lang w:val="en-GB"/>
        </w:rPr>
      </w:pPr>
    </w:p>
    <w:p w:rsidR="00102FCB" w:rsidRDefault="006E7E30" w:rsidP="00102FCB">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research and development expenses were $</w:t>
      </w:r>
      <w:r>
        <w:rPr>
          <w:rFonts w:ascii="Times New Roman" w:eastAsia="Times New Roman" w:hAnsi="Times New Roman" w:cs="Times New Roman"/>
          <w:lang w:val="en-GB"/>
        </w:rPr>
        <w:t xml:space="preserve">35.0 </w:t>
      </w:r>
      <w:r w:rsidRPr="00341614">
        <w:rPr>
          <w:rFonts w:ascii="Times New Roman" w:eastAsia="Times New Roman" w:hAnsi="Times New Roman" w:cs="Times New Roman"/>
          <w:lang w:val="en-GB"/>
        </w:rPr>
        <w:t xml:space="preserve">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10.4</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second quarter of 2013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R</w:t>
      </w:r>
      <w:r w:rsidRPr="00341614">
        <w:rPr>
          <w:rFonts w:ascii="Times New Roman" w:eastAsia="Times New Roman" w:hAnsi="Times New Roman" w:cs="Times New Roman"/>
          <w:lang w:val="en-GB"/>
        </w:rPr>
        <w:t xml:space="preserve">esearch and development expenses </w:t>
      </w:r>
      <w:r w:rsidRPr="00A86814">
        <w:rPr>
          <w:rFonts w:ascii="Times New Roman" w:eastAsia="Times New Roman" w:hAnsi="Times New Roman" w:cs="Times New Roman"/>
          <w:lang w:val="en-GB"/>
        </w:rPr>
        <w:t>for the first half of 201</w:t>
      </w:r>
      <w:r>
        <w:rPr>
          <w:rFonts w:ascii="Times New Roman" w:eastAsia="Times New Roman" w:hAnsi="Times New Roman" w:cs="Times New Roman"/>
          <w:lang w:val="en-GB"/>
        </w:rPr>
        <w:t>4</w:t>
      </w:r>
      <w:r w:rsidRPr="00A86814">
        <w:rPr>
          <w:rFonts w:ascii="Times New Roman" w:eastAsia="Times New Roman" w:hAnsi="Times New Roman" w:cs="Times New Roman"/>
          <w:lang w:val="en-GB"/>
        </w:rPr>
        <w:t xml:space="preserve"> were $</w:t>
      </w:r>
      <w:r>
        <w:rPr>
          <w:rFonts w:ascii="Times New Roman" w:eastAsia="Times New Roman" w:hAnsi="Times New Roman" w:cs="Times New Roman"/>
          <w:lang w:val="en-GB"/>
        </w:rPr>
        <w:t xml:space="preserve">51.3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20.0</w:t>
      </w:r>
      <w:r w:rsidRPr="00A86814">
        <w:rPr>
          <w:rFonts w:ascii="Times New Roman" w:eastAsia="Times New Roman" w:hAnsi="Times New Roman" w:cs="Times New Roman"/>
          <w:lang w:val="en-GB"/>
        </w:rPr>
        <w:t xml:space="preserve"> million for the first half of 201</w:t>
      </w:r>
      <w:r>
        <w:rPr>
          <w:rFonts w:ascii="Times New Roman" w:eastAsia="Times New Roman" w:hAnsi="Times New Roman" w:cs="Times New Roman"/>
          <w:lang w:val="en-GB"/>
        </w:rPr>
        <w:t>3</w:t>
      </w:r>
      <w:r w:rsidRPr="00A86814">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rsidR="0028496D" w:rsidRDefault="0028496D" w:rsidP="0028496D">
      <w:pPr>
        <w:widowControl/>
        <w:autoSpaceDE/>
        <w:autoSpaceDN/>
        <w:adjustRightInd/>
        <w:spacing w:after="0" w:line="240" w:lineRule="auto"/>
        <w:rPr>
          <w:rFonts w:ascii="Times New Roman" w:eastAsia="Times New Roman" w:hAnsi="Times New Roman" w:cs="Times New Roman"/>
          <w:lang w:val="en-GB"/>
        </w:rPr>
      </w:pPr>
    </w:p>
    <w:p w:rsidR="00102FCB" w:rsidRDefault="006E7E30" w:rsidP="00102FCB">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Adjusted research and development expenses were $</w:t>
      </w:r>
      <w:r>
        <w:rPr>
          <w:rFonts w:ascii="Times New Roman" w:eastAsia="Times New Roman" w:hAnsi="Times New Roman" w:cs="Times New Roman"/>
          <w:lang w:val="en-GB"/>
        </w:rPr>
        <w:t xml:space="preserve">29.2 </w:t>
      </w:r>
      <w:r w:rsidRPr="00341614">
        <w:rPr>
          <w:rFonts w:ascii="Times New Roman" w:eastAsia="Times New Roman" w:hAnsi="Times New Roman" w:cs="Times New Roman"/>
          <w:lang w:val="en-GB"/>
        </w:rPr>
        <w:t xml:space="preserve">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9.4</w:t>
      </w:r>
      <w:r w:rsidRPr="00341614">
        <w:rPr>
          <w:rFonts w:ascii="Times New Roman" w:eastAsia="Times New Roman" w:hAnsi="Times New Roman" w:cs="Times New Roman"/>
          <w:lang w:val="en-GB"/>
        </w:rPr>
        <w:t xml:space="preserve"> million in the </w:t>
      </w:r>
      <w:r>
        <w:rPr>
          <w:rFonts w:ascii="Times New Roman" w:eastAsia="Times New Roman" w:hAnsi="Times New Roman" w:cs="Times New Roman"/>
          <w:lang w:val="en-GB"/>
        </w:rPr>
        <w:t>second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A86814">
        <w:rPr>
          <w:rFonts w:ascii="Times New Roman" w:eastAsia="Times New Roman" w:hAnsi="Times New Roman" w:cs="Times New Roman"/>
          <w:lang w:val="en-GB"/>
        </w:rPr>
        <w:t xml:space="preserve">Adjusted </w:t>
      </w:r>
      <w:r w:rsidRPr="00341614">
        <w:rPr>
          <w:rFonts w:ascii="Times New Roman" w:eastAsia="Times New Roman" w:hAnsi="Times New Roman" w:cs="Times New Roman"/>
          <w:lang w:val="en-GB"/>
        </w:rPr>
        <w:t xml:space="preserve">research and development expenses </w:t>
      </w:r>
      <w:r w:rsidRPr="00A86814">
        <w:rPr>
          <w:rFonts w:ascii="Times New Roman" w:eastAsia="Times New Roman" w:hAnsi="Times New Roman" w:cs="Times New Roman"/>
          <w:lang w:val="en-GB"/>
        </w:rPr>
        <w:t>for the first half of 201</w:t>
      </w:r>
      <w:r>
        <w:rPr>
          <w:rFonts w:ascii="Times New Roman" w:eastAsia="Times New Roman" w:hAnsi="Times New Roman" w:cs="Times New Roman"/>
          <w:lang w:val="en-GB"/>
        </w:rPr>
        <w:t>4</w:t>
      </w:r>
      <w:r w:rsidRPr="00A86814">
        <w:rPr>
          <w:rFonts w:ascii="Times New Roman" w:eastAsia="Times New Roman" w:hAnsi="Times New Roman" w:cs="Times New Roman"/>
          <w:lang w:val="en-GB"/>
        </w:rPr>
        <w:t xml:space="preserve"> were $</w:t>
      </w:r>
      <w:r>
        <w:rPr>
          <w:rFonts w:ascii="Times New Roman" w:eastAsia="Times New Roman" w:hAnsi="Times New Roman" w:cs="Times New Roman"/>
          <w:lang w:val="en-GB"/>
        </w:rPr>
        <w:t>41.7</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18.3</w:t>
      </w:r>
      <w:r w:rsidRPr="00A86814">
        <w:rPr>
          <w:rFonts w:ascii="Times New Roman" w:eastAsia="Times New Roman" w:hAnsi="Times New Roman" w:cs="Times New Roman"/>
          <w:lang w:val="en-GB"/>
        </w:rPr>
        <w:t xml:space="preserve"> million for the first half of 201</w:t>
      </w:r>
      <w:r>
        <w:rPr>
          <w:rFonts w:ascii="Times New Roman" w:eastAsia="Times New Roman" w:hAnsi="Times New Roman" w:cs="Times New Roman"/>
          <w:lang w:val="en-GB"/>
        </w:rPr>
        <w:t>3</w:t>
      </w:r>
      <w:r w:rsidRPr="00A86814">
        <w:rPr>
          <w:rFonts w:ascii="Times New Roman" w:eastAsia="Times New Roman" w:hAnsi="Times New Roman" w:cs="Times New Roman"/>
          <w:lang w:val="en-GB"/>
        </w:rPr>
        <w:t>.</w:t>
      </w:r>
    </w:p>
    <w:p w:rsidR="00102FCB" w:rsidRDefault="00102FCB" w:rsidP="00102FCB">
      <w:pPr>
        <w:autoSpaceDE/>
        <w:autoSpaceDN/>
        <w:adjustRightInd/>
        <w:spacing w:after="0" w:line="240" w:lineRule="auto"/>
        <w:ind w:right="6277"/>
        <w:jc w:val="both"/>
        <w:rPr>
          <w:rFonts w:ascii="Times New Roman" w:eastAsia="Times New Roman" w:hAnsi="Times New Roman" w:cs="Times New Roman"/>
          <w:b/>
        </w:rPr>
      </w:pPr>
    </w:p>
    <w:p w:rsidR="00102FCB" w:rsidRPr="00A83034" w:rsidRDefault="006E7E30" w:rsidP="00102FCB">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102FCB" w:rsidRPr="00A83034" w:rsidRDefault="00102FCB" w:rsidP="00102FCB">
      <w:pPr>
        <w:autoSpaceDE/>
        <w:autoSpaceDN/>
        <w:adjustRightInd/>
        <w:spacing w:after="0" w:line="260" w:lineRule="exact"/>
        <w:jc w:val="both"/>
        <w:rPr>
          <w:rFonts w:ascii="Times New Roman" w:eastAsia="Times New Roman" w:hAnsi="Times New Roman" w:cs="Times New Roman"/>
        </w:rPr>
      </w:pPr>
    </w:p>
    <w:p w:rsidR="00102FCB" w:rsidRPr="000159FD" w:rsidRDefault="006E7E30" w:rsidP="00102FCB">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Puma Biotechnology, Inc. is a development stage biopharmaceutical company that acquires and develops innovative products for the treatment of various forms of cancer. The Company focuses on in-licensing drug candidates that are undergoing or have already completed initial clinical testing for the treatment of cancer and then seeks to further develop those drug candidates for commercial use. The Company is initially focused on the development of PB272 (oral neratinib), a potent irreversible tyrosine kinase inhibitor, for the treatment of patients with HER2-positive breast cancer and patients with non-small cell lung cancer, breast cancer and other solid tumors that have a HER2 mutation.</w:t>
      </w:r>
    </w:p>
    <w:p w:rsidR="00102FCB" w:rsidRPr="000159FD" w:rsidRDefault="00102FCB" w:rsidP="00102FCB">
      <w:pPr>
        <w:autoSpaceDE/>
        <w:adjustRightInd/>
        <w:spacing w:after="0" w:line="228" w:lineRule="auto"/>
        <w:ind w:right="53"/>
        <w:jc w:val="both"/>
        <w:rPr>
          <w:rFonts w:ascii="Times New Roman" w:eastAsia="Times New Roman" w:hAnsi="Times New Roman" w:cs="Times New Roman"/>
          <w:lang w:val="en-GB"/>
        </w:rPr>
      </w:pPr>
    </w:p>
    <w:p w:rsidR="00102FCB" w:rsidRPr="000159FD" w:rsidRDefault="006E7E30" w:rsidP="00102FCB">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8"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102FCB" w:rsidRPr="00A83034" w:rsidRDefault="00102FCB" w:rsidP="00102FCB">
      <w:pPr>
        <w:autoSpaceDE/>
        <w:autoSpaceDN/>
        <w:adjustRightInd/>
        <w:spacing w:before="7" w:after="0" w:line="190" w:lineRule="exact"/>
        <w:rPr>
          <w:rFonts w:ascii="Times New Roman" w:eastAsia="Times New Roman" w:hAnsi="Times New Roman" w:cs="Times New Roman"/>
        </w:rPr>
      </w:pPr>
    </w:p>
    <w:p w:rsidR="00102FCB" w:rsidRPr="00A83034" w:rsidRDefault="006E7E30">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102FCB" w:rsidRPr="00A83034" w:rsidRDefault="00102FCB">
      <w:pPr>
        <w:autoSpaceDE/>
        <w:autoSpaceDN/>
        <w:adjustRightInd/>
        <w:spacing w:before="14" w:after="0" w:line="260" w:lineRule="exact"/>
        <w:rPr>
          <w:rFonts w:ascii="Times New Roman" w:eastAsia="Times New Roman" w:hAnsi="Times New Roman" w:cs="Times New Roman"/>
        </w:rPr>
      </w:pPr>
    </w:p>
    <w:p w:rsidR="00102FCB" w:rsidRPr="000159FD" w:rsidRDefault="006E7E30" w:rsidP="0028496D">
      <w:pPr>
        <w:autoSpaceDE/>
        <w:autoSpaceDN/>
        <w:adjustRightInd/>
        <w:spacing w:after="0" w:line="240" w:lineRule="auto"/>
        <w:ind w:right="-20"/>
        <w:rPr>
          <w:rFonts w:ascii="Times New Roman" w:eastAsia="Times New Roman" w:hAnsi="Times New Roman" w:cs="Times New Roman"/>
          <w:lang w:val="en-GB"/>
        </w:rPr>
      </w:pPr>
      <w:bookmarkStart w:id="0" w:name="_GoBack"/>
      <w:r w:rsidRPr="000159FD">
        <w:rPr>
          <w:rFonts w:ascii="Times New Roman" w:eastAsia="Times New Roman" w:hAnsi="Times New Roman" w:cs="Times New Roman"/>
          <w:lang w:val="en-GB"/>
        </w:rPr>
        <w:t>This press release contains forward-looking statements, including statements regarding anticipated timing for the commencement and completion of various clinical trials and the announcement of data relative to these trials. All forward-looking statements included in this press release involve risks and uncertainties that could cause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reports filed by the Company with the Securities and Exchange Commission from time to time, including the Company's Annual Report on Form 10-K for the year ended December 31, 2013. Readers are cautioned not to place undue reliance on these forward-looking statements, which speak only as of the date hereof. The Company assumes no obligation to update these forward-looking statements, except as required by law.</w:t>
      </w:r>
    </w:p>
    <w:bookmarkEnd w:id="0"/>
    <w:p w:rsidR="00102FCB" w:rsidRDefault="00102FCB">
      <w:pPr>
        <w:autoSpaceDE/>
        <w:autoSpaceDN/>
        <w:adjustRightInd/>
        <w:spacing w:after="0" w:line="240" w:lineRule="auto"/>
        <w:ind w:left="90" w:right="-20"/>
        <w:rPr>
          <w:rFonts w:ascii="Times New Roman" w:eastAsia="Times New Roman" w:hAnsi="Times New Roman" w:cs="Times New Roman"/>
          <w:sz w:val="20"/>
          <w:szCs w:val="20"/>
        </w:rPr>
      </w:pPr>
    </w:p>
    <w:p w:rsidR="00102FCB" w:rsidRDefault="00102FCB">
      <w:pPr>
        <w:autoSpaceDE/>
        <w:autoSpaceDN/>
        <w:adjustRightInd/>
        <w:spacing w:after="0" w:line="240" w:lineRule="auto"/>
        <w:ind w:left="90" w:right="-20"/>
        <w:rPr>
          <w:rFonts w:ascii="Times New Roman" w:eastAsia="Times New Roman" w:hAnsi="Times New Roman" w:cs="Times New Roman"/>
          <w:b/>
          <w:sz w:val="24"/>
          <w:szCs w:val="24"/>
        </w:rPr>
      </w:pPr>
    </w:p>
    <w:p w:rsidR="00102FCB" w:rsidRDefault="006E7E30">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102FCB" w:rsidRDefault="00102FCB">
      <w:pPr>
        <w:autoSpaceDE/>
        <w:autoSpaceDN/>
        <w:adjustRightInd/>
        <w:spacing w:after="0" w:line="240" w:lineRule="auto"/>
        <w:ind w:right="-20"/>
        <w:rPr>
          <w:rFonts w:ascii="Times New Roman" w:eastAsia="Times New Roman" w:hAnsi="Times New Roman" w:cs="Times New Roman"/>
          <w:sz w:val="16"/>
          <w:szCs w:val="24"/>
        </w:rPr>
      </w:pPr>
    </w:p>
    <w:p w:rsidR="00102FCB" w:rsidRDefault="006E7E30" w:rsidP="00102FCB">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102FCB" w:rsidRDefault="00682E87" w:rsidP="00102FCB">
      <w:pPr>
        <w:autoSpaceDE/>
        <w:autoSpaceDN/>
        <w:adjustRightInd/>
        <w:spacing w:after="60" w:line="240" w:lineRule="auto"/>
        <w:ind w:right="1085"/>
        <w:rPr>
          <w:rFonts w:ascii="Times New Roman" w:eastAsia="Times New Roman" w:hAnsi="Times New Roman" w:cs="Times New Roman"/>
          <w:szCs w:val="24"/>
        </w:rPr>
      </w:pPr>
      <w:hyperlink r:id="rId9" w:history="1">
        <w:r w:rsidR="006E7E30">
          <w:rPr>
            <w:rFonts w:ascii="Times New Roman" w:eastAsia="Times New Roman" w:hAnsi="Times New Roman" w:cs="Times New Roman"/>
            <w:color w:val="000000"/>
            <w:szCs w:val="24"/>
            <w:u w:color="0000FF"/>
          </w:rPr>
          <w:t>info@pu</w:t>
        </w:r>
        <w:r w:rsidR="006E7E30">
          <w:rPr>
            <w:rFonts w:ascii="Times New Roman" w:eastAsia="Times New Roman" w:hAnsi="Times New Roman" w:cs="Times New Roman"/>
            <w:color w:val="000000"/>
            <w:spacing w:val="-2"/>
            <w:szCs w:val="24"/>
            <w:u w:color="0000FF"/>
          </w:rPr>
          <w:t>m</w:t>
        </w:r>
        <w:r w:rsidR="006E7E30">
          <w:rPr>
            <w:rFonts w:ascii="Times New Roman" w:eastAsia="Times New Roman" w:hAnsi="Times New Roman" w:cs="Times New Roman"/>
            <w:color w:val="000000"/>
            <w:szCs w:val="24"/>
            <w:u w:color="0000FF"/>
          </w:rPr>
          <w:t>ab</w:t>
        </w:r>
        <w:r w:rsidR="006E7E30">
          <w:rPr>
            <w:rFonts w:ascii="Times New Roman" w:eastAsia="Times New Roman" w:hAnsi="Times New Roman" w:cs="Times New Roman"/>
            <w:color w:val="000000"/>
            <w:spacing w:val="-1"/>
            <w:szCs w:val="24"/>
            <w:u w:color="0000FF"/>
          </w:rPr>
          <w:t>i</w:t>
        </w:r>
        <w:r w:rsidR="006E7E30">
          <w:rPr>
            <w:rFonts w:ascii="Times New Roman" w:eastAsia="Times New Roman" w:hAnsi="Times New Roman" w:cs="Times New Roman"/>
            <w:color w:val="000000"/>
            <w:szCs w:val="24"/>
            <w:u w:color="0000FF"/>
          </w:rPr>
          <w:t>ot</w:t>
        </w:r>
        <w:r w:rsidR="006E7E30">
          <w:rPr>
            <w:rFonts w:ascii="Times New Roman" w:eastAsia="Times New Roman" w:hAnsi="Times New Roman" w:cs="Times New Roman"/>
            <w:color w:val="000000"/>
            <w:spacing w:val="-1"/>
            <w:szCs w:val="24"/>
            <w:u w:color="0000FF"/>
          </w:rPr>
          <w:t>e</w:t>
        </w:r>
        <w:r w:rsidR="006E7E30">
          <w:rPr>
            <w:rFonts w:ascii="Times New Roman" w:eastAsia="Times New Roman" w:hAnsi="Times New Roman" w:cs="Times New Roman"/>
            <w:color w:val="000000"/>
            <w:szCs w:val="24"/>
            <w:u w:color="0000FF"/>
          </w:rPr>
          <w:t>chno</w:t>
        </w:r>
        <w:r w:rsidR="006E7E30">
          <w:rPr>
            <w:rFonts w:ascii="Times New Roman" w:eastAsia="Times New Roman" w:hAnsi="Times New Roman" w:cs="Times New Roman"/>
            <w:color w:val="000000"/>
            <w:spacing w:val="-1"/>
            <w:szCs w:val="24"/>
            <w:u w:color="0000FF"/>
          </w:rPr>
          <w:t>l</w:t>
        </w:r>
        <w:r w:rsidR="006E7E30">
          <w:rPr>
            <w:rFonts w:ascii="Times New Roman" w:eastAsia="Times New Roman" w:hAnsi="Times New Roman" w:cs="Times New Roman"/>
            <w:color w:val="000000"/>
            <w:szCs w:val="24"/>
            <w:u w:color="0000FF"/>
          </w:rPr>
          <w:t>ogy.com</w:t>
        </w:r>
      </w:hyperlink>
    </w:p>
    <w:p w:rsidR="00102FCB" w:rsidRDefault="00682E87" w:rsidP="00102FCB">
      <w:pPr>
        <w:autoSpaceDE/>
        <w:autoSpaceDN/>
        <w:adjustRightInd/>
        <w:spacing w:after="60" w:line="260" w:lineRule="exact"/>
        <w:ind w:right="-20"/>
        <w:rPr>
          <w:rFonts w:ascii="Times New Roman" w:eastAsia="Times New Roman" w:hAnsi="Times New Roman" w:cs="Times New Roman"/>
          <w:szCs w:val="24"/>
        </w:rPr>
      </w:pPr>
      <w:hyperlink r:id="rId10" w:history="1">
        <w:r w:rsidR="006E7E30">
          <w:rPr>
            <w:rFonts w:ascii="Times New Roman" w:eastAsia="Times New Roman" w:hAnsi="Times New Roman" w:cs="Times New Roman"/>
            <w:color w:val="000000"/>
            <w:position w:val="-1"/>
            <w:szCs w:val="24"/>
            <w:u w:color="0000FF"/>
          </w:rPr>
          <w:t>ir@pu</w:t>
        </w:r>
        <w:r w:rsidR="006E7E30">
          <w:rPr>
            <w:rFonts w:ascii="Times New Roman" w:eastAsia="Times New Roman" w:hAnsi="Times New Roman" w:cs="Times New Roman"/>
            <w:color w:val="000000"/>
            <w:spacing w:val="-2"/>
            <w:position w:val="-1"/>
            <w:szCs w:val="24"/>
            <w:u w:color="0000FF"/>
          </w:rPr>
          <w:t>m</w:t>
        </w:r>
        <w:r w:rsidR="006E7E30">
          <w:rPr>
            <w:rFonts w:ascii="Times New Roman" w:eastAsia="Times New Roman" w:hAnsi="Times New Roman" w:cs="Times New Roman"/>
            <w:color w:val="000000"/>
            <w:position w:val="-1"/>
            <w:szCs w:val="24"/>
            <w:u w:color="0000FF"/>
          </w:rPr>
          <w:t>ab</w:t>
        </w:r>
        <w:r w:rsidR="006E7E30">
          <w:rPr>
            <w:rFonts w:ascii="Times New Roman" w:eastAsia="Times New Roman" w:hAnsi="Times New Roman" w:cs="Times New Roman"/>
            <w:color w:val="000000"/>
            <w:spacing w:val="-1"/>
            <w:position w:val="-1"/>
            <w:szCs w:val="24"/>
            <w:u w:color="0000FF"/>
          </w:rPr>
          <w:t>i</w:t>
        </w:r>
        <w:r w:rsidR="006E7E30">
          <w:rPr>
            <w:rFonts w:ascii="Times New Roman" w:eastAsia="Times New Roman" w:hAnsi="Times New Roman" w:cs="Times New Roman"/>
            <w:color w:val="000000"/>
            <w:position w:val="-1"/>
            <w:szCs w:val="24"/>
            <w:u w:color="0000FF"/>
          </w:rPr>
          <w:t>otechno</w:t>
        </w:r>
        <w:r w:rsidR="006E7E30">
          <w:rPr>
            <w:rFonts w:ascii="Times New Roman" w:eastAsia="Times New Roman" w:hAnsi="Times New Roman" w:cs="Times New Roman"/>
            <w:color w:val="000000"/>
            <w:spacing w:val="-1"/>
            <w:position w:val="-1"/>
            <w:szCs w:val="24"/>
            <w:u w:color="0000FF"/>
          </w:rPr>
          <w:t>l</w:t>
        </w:r>
        <w:r w:rsidR="006E7E30">
          <w:rPr>
            <w:rFonts w:ascii="Times New Roman" w:eastAsia="Times New Roman" w:hAnsi="Times New Roman" w:cs="Times New Roman"/>
            <w:color w:val="000000"/>
            <w:position w:val="-1"/>
            <w:szCs w:val="24"/>
            <w:u w:color="0000FF"/>
          </w:rPr>
          <w:t>o</w:t>
        </w:r>
        <w:r w:rsidR="006E7E30">
          <w:rPr>
            <w:rFonts w:ascii="Times New Roman" w:eastAsia="Times New Roman" w:hAnsi="Times New Roman" w:cs="Times New Roman"/>
            <w:color w:val="000000"/>
            <w:spacing w:val="-1"/>
            <w:position w:val="-1"/>
            <w:szCs w:val="24"/>
            <w:u w:color="0000FF"/>
          </w:rPr>
          <w:t>g</w:t>
        </w:r>
        <w:r w:rsidR="006E7E30">
          <w:rPr>
            <w:rFonts w:ascii="Times New Roman" w:eastAsia="Times New Roman" w:hAnsi="Times New Roman" w:cs="Times New Roman"/>
            <w:color w:val="000000"/>
            <w:spacing w:val="1"/>
            <w:position w:val="-1"/>
            <w:szCs w:val="24"/>
            <w:u w:color="0000FF"/>
          </w:rPr>
          <w:t>y</w:t>
        </w:r>
        <w:r w:rsidR="006E7E30">
          <w:rPr>
            <w:rFonts w:ascii="Times New Roman" w:eastAsia="Times New Roman" w:hAnsi="Times New Roman" w:cs="Times New Roman"/>
            <w:color w:val="000000"/>
            <w:position w:val="-1"/>
            <w:szCs w:val="24"/>
            <w:u w:color="0000FF"/>
          </w:rPr>
          <w:t>.</w:t>
        </w:r>
        <w:r w:rsidR="006E7E30">
          <w:rPr>
            <w:rFonts w:ascii="Times New Roman" w:eastAsia="Times New Roman" w:hAnsi="Times New Roman" w:cs="Times New Roman"/>
            <w:color w:val="000000"/>
            <w:spacing w:val="-2"/>
            <w:position w:val="-1"/>
            <w:szCs w:val="24"/>
            <w:u w:color="0000FF"/>
          </w:rPr>
          <w:t>c</w:t>
        </w:r>
        <w:r w:rsidR="006E7E30">
          <w:rPr>
            <w:rFonts w:ascii="Times New Roman" w:eastAsia="Times New Roman" w:hAnsi="Times New Roman" w:cs="Times New Roman"/>
            <w:color w:val="000000"/>
            <w:position w:val="-1"/>
            <w:szCs w:val="24"/>
            <w:u w:color="0000FF"/>
          </w:rPr>
          <w:t>om</w:t>
        </w:r>
      </w:hyperlink>
    </w:p>
    <w:p w:rsidR="00102FCB" w:rsidRPr="00A83034" w:rsidRDefault="00102FCB">
      <w:pPr>
        <w:autoSpaceDE/>
        <w:autoSpaceDN/>
        <w:adjustRightInd/>
        <w:spacing w:after="0" w:line="200" w:lineRule="exact"/>
        <w:rPr>
          <w:rFonts w:ascii="Times New Roman" w:eastAsia="Times New Roman" w:hAnsi="Times New Roman" w:cs="Times New Roman"/>
          <w:sz w:val="16"/>
          <w:szCs w:val="16"/>
        </w:rPr>
      </w:pPr>
    </w:p>
    <w:p w:rsidR="00102FCB" w:rsidRPr="00A83034" w:rsidRDefault="006E7E30" w:rsidP="00102FCB">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Andreas</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Ma</w:t>
      </w:r>
      <w:r>
        <w:rPr>
          <w:rFonts w:ascii="Times New Roman" w:eastAsia="Times New Roman" w:hAnsi="Times New Roman" w:cs="Times New Roman"/>
          <w:spacing w:val="-1"/>
          <w:szCs w:val="24"/>
        </w:rPr>
        <w:t>r</w:t>
      </w:r>
      <w:r>
        <w:rPr>
          <w:rFonts w:ascii="Times New Roman" w:eastAsia="Times New Roman" w:hAnsi="Times New Roman" w:cs="Times New Roman"/>
          <w:szCs w:val="24"/>
        </w:rPr>
        <w:t>a</w:t>
      </w:r>
      <w:r>
        <w:rPr>
          <w:rFonts w:ascii="Times New Roman" w:eastAsia="Times New Roman" w:hAnsi="Times New Roman" w:cs="Times New Roman"/>
          <w:spacing w:val="-1"/>
          <w:szCs w:val="24"/>
        </w:rPr>
        <w:t>t</w:t>
      </w:r>
      <w:r>
        <w:rPr>
          <w:rFonts w:ascii="Times New Roman" w:eastAsia="Times New Roman" w:hAnsi="Times New Roman" w:cs="Times New Roman"/>
          <w:szCs w:val="24"/>
        </w:rPr>
        <w:t>hovounio</w:t>
      </w:r>
      <w:r>
        <w:rPr>
          <w:rFonts w:ascii="Times New Roman" w:eastAsia="Times New Roman" w:hAnsi="Times New Roman" w:cs="Times New Roman"/>
          <w:spacing w:val="-1"/>
          <w:szCs w:val="24"/>
        </w:rPr>
        <w:t>t</w:t>
      </w:r>
      <w:r>
        <w:rPr>
          <w:rFonts w:ascii="Times New Roman" w:eastAsia="Times New Roman" w:hAnsi="Times New Roman" w:cs="Times New Roman"/>
          <w:szCs w:val="24"/>
        </w:rPr>
        <w:t>is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3</w:t>
      </w:r>
      <w:r>
        <w:rPr>
          <w:rFonts w:ascii="Times New Roman" w:eastAsia="Times New Roman" w:hAnsi="Times New Roman" w:cs="Times New Roman"/>
          <w:szCs w:val="24"/>
        </w:rPr>
        <w:t>5</w:t>
      </w:r>
    </w:p>
    <w:p w:rsidR="00102FCB" w:rsidRPr="00A83034" w:rsidRDefault="00682E87" w:rsidP="00102FCB">
      <w:pPr>
        <w:autoSpaceDE/>
        <w:autoSpaceDN/>
        <w:adjustRightInd/>
        <w:spacing w:after="60" w:line="260" w:lineRule="exact"/>
        <w:ind w:right="-20"/>
        <w:rPr>
          <w:rFonts w:ascii="Times New Roman" w:eastAsia="Times New Roman" w:hAnsi="Times New Roman" w:cs="Times New Roman"/>
          <w:szCs w:val="24"/>
        </w:rPr>
      </w:pPr>
      <w:hyperlink r:id="rId11" w:history="1">
        <w:r w:rsidR="006E7E30">
          <w:rPr>
            <w:rFonts w:ascii="Times New Roman" w:eastAsia="Times New Roman" w:hAnsi="Times New Roman" w:cs="Times New Roman"/>
            <w:color w:val="000000"/>
            <w:position w:val="-1"/>
            <w:szCs w:val="24"/>
            <w:u w:color="0000FF"/>
          </w:rPr>
          <w:t>andre</w:t>
        </w:r>
        <w:r w:rsidR="006E7E30">
          <w:rPr>
            <w:rFonts w:ascii="Times New Roman" w:eastAsia="Times New Roman" w:hAnsi="Times New Roman" w:cs="Times New Roman"/>
            <w:color w:val="000000"/>
            <w:spacing w:val="-1"/>
            <w:position w:val="-1"/>
            <w:szCs w:val="24"/>
            <w:u w:color="0000FF"/>
          </w:rPr>
          <w:t>a</w:t>
        </w:r>
        <w:r w:rsidR="006E7E30">
          <w:rPr>
            <w:rFonts w:ascii="Times New Roman" w:eastAsia="Times New Roman" w:hAnsi="Times New Roman" w:cs="Times New Roman"/>
            <w:color w:val="000000"/>
            <w:position w:val="-1"/>
            <w:szCs w:val="24"/>
            <w:u w:color="0000FF"/>
          </w:rPr>
          <w:t>s.</w:t>
        </w:r>
        <w:r w:rsidR="006E7E30">
          <w:rPr>
            <w:rFonts w:ascii="Times New Roman" w:eastAsia="Times New Roman" w:hAnsi="Times New Roman" w:cs="Times New Roman"/>
            <w:color w:val="000000"/>
            <w:spacing w:val="-1"/>
            <w:position w:val="-1"/>
            <w:szCs w:val="24"/>
            <w:u w:color="0000FF"/>
          </w:rPr>
          <w:t>m</w:t>
        </w:r>
        <w:r w:rsidR="006E7E30">
          <w:rPr>
            <w:rFonts w:ascii="Times New Roman" w:eastAsia="Times New Roman" w:hAnsi="Times New Roman" w:cs="Times New Roman"/>
            <w:color w:val="000000"/>
            <w:position w:val="-1"/>
            <w:szCs w:val="24"/>
            <w:u w:color="0000FF"/>
          </w:rPr>
          <w:t>ara</w:t>
        </w:r>
        <w:r w:rsidR="006E7E30">
          <w:rPr>
            <w:rFonts w:ascii="Times New Roman" w:eastAsia="Times New Roman" w:hAnsi="Times New Roman" w:cs="Times New Roman"/>
            <w:color w:val="000000"/>
            <w:spacing w:val="-1"/>
            <w:position w:val="-1"/>
            <w:szCs w:val="24"/>
            <w:u w:color="0000FF"/>
          </w:rPr>
          <w:t>t</w:t>
        </w:r>
        <w:r w:rsidR="006E7E30">
          <w:rPr>
            <w:rFonts w:ascii="Times New Roman" w:eastAsia="Times New Roman" w:hAnsi="Times New Roman" w:cs="Times New Roman"/>
            <w:color w:val="000000"/>
            <w:position w:val="-1"/>
            <w:szCs w:val="24"/>
            <w:u w:color="0000FF"/>
          </w:rPr>
          <w:t>his@russo</w:t>
        </w:r>
        <w:r w:rsidR="006E7E30">
          <w:rPr>
            <w:rFonts w:ascii="Times New Roman" w:eastAsia="Times New Roman" w:hAnsi="Times New Roman" w:cs="Times New Roman"/>
            <w:color w:val="000000"/>
            <w:spacing w:val="-1"/>
            <w:position w:val="-1"/>
            <w:szCs w:val="24"/>
            <w:u w:color="0000FF"/>
          </w:rPr>
          <w:t>p</w:t>
        </w:r>
        <w:r w:rsidR="006E7E30">
          <w:rPr>
            <w:rFonts w:ascii="Times New Roman" w:eastAsia="Times New Roman" w:hAnsi="Times New Roman" w:cs="Times New Roman"/>
            <w:color w:val="000000"/>
            <w:position w:val="-1"/>
            <w:szCs w:val="24"/>
            <w:u w:color="0000FF"/>
          </w:rPr>
          <w:t>artn</w:t>
        </w:r>
        <w:r w:rsidR="006E7E30">
          <w:rPr>
            <w:rFonts w:ascii="Times New Roman" w:eastAsia="Times New Roman" w:hAnsi="Times New Roman" w:cs="Times New Roman"/>
            <w:color w:val="000000"/>
            <w:spacing w:val="-1"/>
            <w:position w:val="-1"/>
            <w:szCs w:val="24"/>
            <w:u w:color="0000FF"/>
          </w:rPr>
          <w:t>e</w:t>
        </w:r>
        <w:r w:rsidR="006E7E30">
          <w:rPr>
            <w:rFonts w:ascii="Times New Roman" w:eastAsia="Times New Roman" w:hAnsi="Times New Roman" w:cs="Times New Roman"/>
            <w:color w:val="000000"/>
            <w:position w:val="-1"/>
            <w:szCs w:val="24"/>
            <w:u w:color="0000FF"/>
          </w:rPr>
          <w:t>rsll</w:t>
        </w:r>
        <w:r w:rsidR="006E7E30">
          <w:rPr>
            <w:rFonts w:ascii="Times New Roman" w:eastAsia="Times New Roman" w:hAnsi="Times New Roman" w:cs="Times New Roman"/>
            <w:color w:val="000000"/>
            <w:spacing w:val="-1"/>
            <w:position w:val="-1"/>
            <w:szCs w:val="24"/>
            <w:u w:color="0000FF"/>
          </w:rPr>
          <w:t>c</w:t>
        </w:r>
        <w:r w:rsidR="006E7E30">
          <w:rPr>
            <w:rFonts w:ascii="Times New Roman" w:eastAsia="Times New Roman" w:hAnsi="Times New Roman" w:cs="Times New Roman"/>
            <w:color w:val="000000"/>
            <w:position w:val="-1"/>
            <w:szCs w:val="24"/>
            <w:u w:color="0000FF"/>
          </w:rPr>
          <w:t>.com</w:t>
        </w:r>
      </w:hyperlink>
    </w:p>
    <w:p w:rsidR="00102FCB" w:rsidRDefault="00682E87" w:rsidP="00102FCB">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2" w:history="1">
        <w:r w:rsidR="006E7E30">
          <w:rPr>
            <w:rFonts w:ascii="Times New Roman" w:eastAsia="Times New Roman" w:hAnsi="Times New Roman" w:cs="Times New Roman"/>
            <w:color w:val="000000"/>
            <w:szCs w:val="24"/>
            <w:u w:color="0000FF"/>
          </w:rPr>
          <w:t>dav</w:t>
        </w:r>
        <w:r w:rsidR="006E7E30">
          <w:rPr>
            <w:rFonts w:ascii="Times New Roman" w:eastAsia="Times New Roman" w:hAnsi="Times New Roman" w:cs="Times New Roman"/>
            <w:color w:val="000000"/>
            <w:spacing w:val="-1"/>
            <w:szCs w:val="24"/>
            <w:u w:color="0000FF"/>
          </w:rPr>
          <w:t>i</w:t>
        </w:r>
        <w:r w:rsidR="006E7E30">
          <w:rPr>
            <w:rFonts w:ascii="Times New Roman" w:eastAsia="Times New Roman" w:hAnsi="Times New Roman" w:cs="Times New Roman"/>
            <w:color w:val="000000"/>
            <w:szCs w:val="24"/>
            <w:u w:color="0000FF"/>
          </w:rPr>
          <w:t>d.schul</w:t>
        </w:r>
        <w:r w:rsidR="006E7E30">
          <w:rPr>
            <w:rFonts w:ascii="Times New Roman" w:eastAsia="Times New Roman" w:hAnsi="Times New Roman" w:cs="Times New Roman"/>
            <w:color w:val="000000"/>
            <w:spacing w:val="-1"/>
            <w:szCs w:val="24"/>
            <w:u w:color="0000FF"/>
          </w:rPr>
          <w:t>l</w:t>
        </w:r>
        <w:r w:rsidR="006E7E30">
          <w:rPr>
            <w:rFonts w:ascii="Times New Roman" w:eastAsia="Times New Roman" w:hAnsi="Times New Roman" w:cs="Times New Roman"/>
            <w:color w:val="000000"/>
            <w:szCs w:val="24"/>
            <w:u w:color="0000FF"/>
          </w:rPr>
          <w:t>@russopar</w:t>
        </w:r>
        <w:r w:rsidR="006E7E30">
          <w:rPr>
            <w:rFonts w:ascii="Times New Roman" w:eastAsia="Times New Roman" w:hAnsi="Times New Roman" w:cs="Times New Roman"/>
            <w:color w:val="000000"/>
            <w:spacing w:val="-1"/>
            <w:szCs w:val="24"/>
            <w:u w:color="0000FF"/>
          </w:rPr>
          <w:t>tn</w:t>
        </w:r>
        <w:r w:rsidR="006E7E30">
          <w:rPr>
            <w:rFonts w:ascii="Times New Roman" w:eastAsia="Times New Roman" w:hAnsi="Times New Roman" w:cs="Times New Roman"/>
            <w:color w:val="000000"/>
            <w:szCs w:val="24"/>
            <w:u w:color="0000FF"/>
          </w:rPr>
          <w:t>ersl</w:t>
        </w:r>
        <w:r w:rsidR="006E7E30">
          <w:rPr>
            <w:rFonts w:ascii="Times New Roman" w:eastAsia="Times New Roman" w:hAnsi="Times New Roman" w:cs="Times New Roman"/>
            <w:color w:val="000000"/>
            <w:spacing w:val="-1"/>
            <w:szCs w:val="24"/>
            <w:u w:color="0000FF"/>
          </w:rPr>
          <w:t>l</w:t>
        </w:r>
        <w:r w:rsidR="006E7E30">
          <w:rPr>
            <w:rFonts w:ascii="Times New Roman" w:eastAsia="Times New Roman" w:hAnsi="Times New Roman" w:cs="Times New Roman"/>
            <w:color w:val="000000"/>
            <w:szCs w:val="24"/>
            <w:u w:color="0000FF"/>
          </w:rPr>
          <w:t>c.com</w:t>
        </w:r>
      </w:hyperlink>
    </w:p>
    <w:p w:rsidR="00102FCB" w:rsidRDefault="00102FCB">
      <w:pPr>
        <w:autoSpaceDE/>
        <w:autoSpaceDN/>
        <w:adjustRightInd/>
        <w:spacing w:after="0" w:line="240" w:lineRule="auto"/>
        <w:ind w:left="100" w:right="-20"/>
        <w:jc w:val="center"/>
        <w:rPr>
          <w:rFonts w:ascii="Times New Roman" w:eastAsia="Times New Roman" w:hAnsi="Times New Roman" w:cs="Times New Roman"/>
          <w:b/>
          <w:sz w:val="20"/>
          <w:szCs w:val="24"/>
        </w:rPr>
      </w:pPr>
    </w:p>
    <w:p w:rsidR="00102FCB" w:rsidRDefault="006E7E30">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102FCB" w:rsidRDefault="00102FCB">
      <w:pPr>
        <w:autoSpaceDE/>
        <w:autoSpaceDN/>
        <w:adjustRightInd/>
        <w:spacing w:after="0" w:line="240" w:lineRule="auto"/>
        <w:ind w:left="100" w:right="-20"/>
        <w:jc w:val="center"/>
        <w:rPr>
          <w:rFonts w:ascii="Times New Roman" w:eastAsia="Times New Roman" w:hAnsi="Times New Roman" w:cs="Times New Roman"/>
          <w:b/>
          <w:sz w:val="16"/>
          <w:szCs w:val="24"/>
        </w:rPr>
      </w:pPr>
    </w:p>
    <w:p w:rsidR="00102FCB" w:rsidRDefault="006E7E30" w:rsidP="00102FCB">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102FCB" w:rsidRPr="00C56F71" w:rsidRDefault="00102FCB" w:rsidP="00102FCB">
      <w:pPr>
        <w:autoSpaceDE/>
        <w:autoSpaceDN/>
        <w:adjustRightInd/>
        <w:spacing w:after="0" w:line="240" w:lineRule="auto"/>
        <w:ind w:right="-20"/>
        <w:rPr>
          <w:rFonts w:ascii="Times New Roman" w:eastAsia="Times New Roman" w:hAnsi="Times New Roman" w:cs="Times New Roman"/>
          <w:b/>
          <w:szCs w:val="24"/>
        </w:rPr>
      </w:pPr>
    </w:p>
    <w:p w:rsidR="00102FCB" w:rsidRDefault="006E7E30" w:rsidP="00102FCB">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02FCB" w:rsidRDefault="006E7E30">
      <w:pPr>
        <w:widowControl/>
        <w:autoSpaceDE/>
        <w:autoSpaceDN/>
        <w:adjustRightIn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2FCB" w:rsidRDefault="00102FCB" w:rsidP="00102FCB">
      <w:pPr>
        <w:autoSpaceDE/>
        <w:autoSpaceDN/>
        <w:adjustRightInd/>
        <w:spacing w:after="0" w:line="240" w:lineRule="auto"/>
        <w:ind w:right="-20"/>
        <w:rPr>
          <w:rFonts w:ascii="Times New Roman" w:eastAsia="Times New Roman" w:hAnsi="Times New Roman" w:cs="Times New Roman"/>
          <w:b/>
          <w:sz w:val="24"/>
          <w:szCs w:val="24"/>
        </w:rPr>
      </w:pPr>
    </w:p>
    <w:p w:rsidR="00102FCB" w:rsidRDefault="00E20924" w:rsidP="00855484">
      <w:pPr>
        <w:widowControl/>
        <w:autoSpaceDE/>
        <w:autoSpaceDN/>
        <w:adjustRightIn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076950" cy="8115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8115300"/>
                    </a:xfrm>
                    <a:prstGeom prst="rect">
                      <a:avLst/>
                    </a:prstGeom>
                    <a:noFill/>
                    <a:ln>
                      <a:noFill/>
                    </a:ln>
                  </pic:spPr>
                </pic:pic>
              </a:graphicData>
            </a:graphic>
          </wp:inline>
        </w:drawing>
      </w:r>
      <w:r w:rsidR="006E7E30">
        <w:rPr>
          <w:rFonts w:ascii="Times New Roman" w:eastAsia="Times New Roman" w:hAnsi="Times New Roman" w:cs="Times New Roman"/>
          <w:b/>
          <w:sz w:val="24"/>
          <w:szCs w:val="24"/>
        </w:rPr>
        <w:br w:type="page"/>
      </w:r>
    </w:p>
    <w:p w:rsidR="00102FCB" w:rsidRDefault="00E20924" w:rsidP="00855484">
      <w:pPr>
        <w:autoSpaceDE/>
        <w:autoSpaceDN/>
        <w:adjustRightInd/>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753225" cy="85439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3225" cy="8543925"/>
                    </a:xfrm>
                    <a:prstGeom prst="rect">
                      <a:avLst/>
                    </a:prstGeom>
                    <a:noFill/>
                    <a:ln>
                      <a:noFill/>
                    </a:ln>
                  </pic:spPr>
                </pic:pic>
              </a:graphicData>
            </a:graphic>
          </wp:inline>
        </w:drawing>
      </w:r>
    </w:p>
    <w:sectPr w:rsidR="00102FCB" w:rsidSect="007358EB">
      <w:headerReference w:type="even" r:id="rId15"/>
      <w:headerReference w:type="default" r:id="rId16"/>
      <w:footerReference w:type="even" r:id="rId17"/>
      <w:footerReference w:type="default" r:id="rId18"/>
      <w:headerReference w:type="first" r:id="rId19"/>
      <w:footerReference w:type="first" r:id="rId20"/>
      <w:pgSz w:w="12240" w:h="15840"/>
      <w:pgMar w:top="1008" w:right="1152" w:bottom="1008"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87" w:rsidRDefault="00682E87">
      <w:pPr>
        <w:spacing w:after="0" w:line="240" w:lineRule="auto"/>
      </w:pPr>
      <w:r>
        <w:separator/>
      </w:r>
    </w:p>
  </w:endnote>
  <w:endnote w:type="continuationSeparator" w:id="0">
    <w:p w:rsidR="00682E87" w:rsidRDefault="0068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10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102FCB">
    <w:pPr>
      <w:autoSpaceDE/>
      <w:autoSpaceDN/>
      <w:adjustRightInd/>
      <w:rPr>
        <w:rFonts w:eastAsia="Times New Roman"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6E7E30">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87" w:rsidRDefault="00682E87">
      <w:pPr>
        <w:spacing w:after="0" w:line="240" w:lineRule="auto"/>
      </w:pPr>
      <w:r>
        <w:separator/>
      </w:r>
    </w:p>
  </w:footnote>
  <w:footnote w:type="continuationSeparator" w:id="0">
    <w:p w:rsidR="00682E87" w:rsidRDefault="00682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10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6E7E30">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CB" w:rsidRDefault="006E7E30">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E52EB6D6">
      <w:start w:val="1"/>
      <w:numFmt w:val="bullet"/>
      <w:lvlText w:val="•"/>
      <w:lvlJc w:val="left"/>
      <w:pPr>
        <w:tabs>
          <w:tab w:val="left" w:pos="720"/>
        </w:tabs>
        <w:ind w:left="720" w:hanging="360"/>
      </w:pPr>
      <w:rPr>
        <w:rFonts w:ascii="Arial" w:hAnsi="Arial"/>
        <w:strike w:val="0"/>
        <w:dstrike w:val="0"/>
      </w:rPr>
    </w:lvl>
    <w:lvl w:ilvl="1" w:tplc="B7E8B724">
      <w:start w:val="1"/>
      <w:numFmt w:val="bullet"/>
      <w:lvlText w:val="•"/>
      <w:lvlJc w:val="left"/>
      <w:pPr>
        <w:tabs>
          <w:tab w:val="left" w:pos="1440"/>
        </w:tabs>
        <w:ind w:left="1440" w:hanging="360"/>
      </w:pPr>
      <w:rPr>
        <w:rFonts w:ascii="Arial" w:hAnsi="Arial"/>
        <w:strike w:val="0"/>
        <w:dstrike w:val="0"/>
      </w:rPr>
    </w:lvl>
    <w:lvl w:ilvl="2" w:tplc="7846B172">
      <w:start w:val="1"/>
      <w:numFmt w:val="bullet"/>
      <w:lvlText w:val="•"/>
      <w:lvlJc w:val="left"/>
      <w:pPr>
        <w:tabs>
          <w:tab w:val="left" w:pos="2160"/>
        </w:tabs>
        <w:ind w:left="2160" w:hanging="360"/>
      </w:pPr>
      <w:rPr>
        <w:rFonts w:ascii="Arial" w:hAnsi="Arial"/>
        <w:strike w:val="0"/>
        <w:dstrike w:val="0"/>
      </w:rPr>
    </w:lvl>
    <w:lvl w:ilvl="3" w:tplc="09848342">
      <w:start w:val="1"/>
      <w:numFmt w:val="bullet"/>
      <w:lvlText w:val="•"/>
      <w:lvlJc w:val="left"/>
      <w:pPr>
        <w:tabs>
          <w:tab w:val="left" w:pos="2880"/>
        </w:tabs>
        <w:ind w:left="2880" w:hanging="360"/>
      </w:pPr>
      <w:rPr>
        <w:rFonts w:ascii="Arial" w:hAnsi="Arial"/>
        <w:strike w:val="0"/>
        <w:dstrike w:val="0"/>
      </w:rPr>
    </w:lvl>
    <w:lvl w:ilvl="4" w:tplc="F3FEDA52">
      <w:start w:val="1"/>
      <w:numFmt w:val="bullet"/>
      <w:lvlText w:val="•"/>
      <w:lvlJc w:val="left"/>
      <w:pPr>
        <w:tabs>
          <w:tab w:val="left" w:pos="3600"/>
        </w:tabs>
        <w:ind w:left="3600" w:hanging="360"/>
      </w:pPr>
      <w:rPr>
        <w:rFonts w:ascii="Arial" w:hAnsi="Arial"/>
        <w:strike w:val="0"/>
        <w:dstrike w:val="0"/>
      </w:rPr>
    </w:lvl>
    <w:lvl w:ilvl="5" w:tplc="FD38F3DC">
      <w:start w:val="1"/>
      <w:numFmt w:val="bullet"/>
      <w:lvlText w:val="•"/>
      <w:lvlJc w:val="left"/>
      <w:pPr>
        <w:tabs>
          <w:tab w:val="left" w:pos="4320"/>
        </w:tabs>
        <w:ind w:left="4320" w:hanging="360"/>
      </w:pPr>
      <w:rPr>
        <w:rFonts w:ascii="Arial" w:hAnsi="Arial"/>
        <w:strike w:val="0"/>
        <w:dstrike w:val="0"/>
      </w:rPr>
    </w:lvl>
    <w:lvl w:ilvl="6" w:tplc="C49C15AA">
      <w:start w:val="1"/>
      <w:numFmt w:val="bullet"/>
      <w:lvlText w:val="•"/>
      <w:lvlJc w:val="left"/>
      <w:pPr>
        <w:tabs>
          <w:tab w:val="left" w:pos="5040"/>
        </w:tabs>
        <w:ind w:left="5040" w:hanging="360"/>
      </w:pPr>
      <w:rPr>
        <w:rFonts w:ascii="Arial" w:hAnsi="Arial"/>
        <w:strike w:val="0"/>
        <w:dstrike w:val="0"/>
      </w:rPr>
    </w:lvl>
    <w:lvl w:ilvl="7" w:tplc="6148A4FE">
      <w:start w:val="1"/>
      <w:numFmt w:val="bullet"/>
      <w:lvlText w:val="•"/>
      <w:lvlJc w:val="left"/>
      <w:pPr>
        <w:tabs>
          <w:tab w:val="left" w:pos="5760"/>
        </w:tabs>
        <w:ind w:left="5760" w:hanging="360"/>
      </w:pPr>
      <w:rPr>
        <w:rFonts w:ascii="Arial" w:hAnsi="Arial"/>
        <w:strike w:val="0"/>
        <w:dstrike w:val="0"/>
      </w:rPr>
    </w:lvl>
    <w:lvl w:ilvl="8" w:tplc="42DEAE02">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97BEF56A">
      <w:start w:val="1"/>
      <w:numFmt w:val="bullet"/>
      <w:lvlText w:val=""/>
      <w:lvlJc w:val="left"/>
      <w:pPr>
        <w:ind w:left="720" w:hanging="360"/>
      </w:pPr>
      <w:rPr>
        <w:rFonts w:ascii="Symbol" w:hAnsi="Symbol" w:hint="default"/>
      </w:rPr>
    </w:lvl>
    <w:lvl w:ilvl="1" w:tplc="AF8C257C" w:tentative="1">
      <w:start w:val="1"/>
      <w:numFmt w:val="lowerLetter"/>
      <w:lvlText w:val="%2."/>
      <w:lvlJc w:val="left"/>
      <w:pPr>
        <w:ind w:left="1440" w:hanging="360"/>
      </w:pPr>
    </w:lvl>
    <w:lvl w:ilvl="2" w:tplc="585081D4" w:tentative="1">
      <w:start w:val="1"/>
      <w:numFmt w:val="lowerRoman"/>
      <w:lvlText w:val="%3."/>
      <w:lvlJc w:val="right"/>
      <w:pPr>
        <w:ind w:left="2160" w:hanging="180"/>
      </w:pPr>
    </w:lvl>
    <w:lvl w:ilvl="3" w:tplc="176CD16A" w:tentative="1">
      <w:start w:val="1"/>
      <w:numFmt w:val="decimal"/>
      <w:lvlText w:val="%4."/>
      <w:lvlJc w:val="left"/>
      <w:pPr>
        <w:ind w:left="2880" w:hanging="360"/>
      </w:pPr>
    </w:lvl>
    <w:lvl w:ilvl="4" w:tplc="8164602C" w:tentative="1">
      <w:start w:val="1"/>
      <w:numFmt w:val="lowerLetter"/>
      <w:lvlText w:val="%5."/>
      <w:lvlJc w:val="left"/>
      <w:pPr>
        <w:ind w:left="3600" w:hanging="360"/>
      </w:pPr>
    </w:lvl>
    <w:lvl w:ilvl="5" w:tplc="FAECE9FE" w:tentative="1">
      <w:start w:val="1"/>
      <w:numFmt w:val="lowerRoman"/>
      <w:lvlText w:val="%6."/>
      <w:lvlJc w:val="right"/>
      <w:pPr>
        <w:ind w:left="4320" w:hanging="180"/>
      </w:pPr>
    </w:lvl>
    <w:lvl w:ilvl="6" w:tplc="3FD65338" w:tentative="1">
      <w:start w:val="1"/>
      <w:numFmt w:val="decimal"/>
      <w:lvlText w:val="%7."/>
      <w:lvlJc w:val="left"/>
      <w:pPr>
        <w:ind w:left="5040" w:hanging="360"/>
      </w:pPr>
    </w:lvl>
    <w:lvl w:ilvl="7" w:tplc="1F00913A" w:tentative="1">
      <w:start w:val="1"/>
      <w:numFmt w:val="lowerLetter"/>
      <w:lvlText w:val="%8."/>
      <w:lvlJc w:val="left"/>
      <w:pPr>
        <w:ind w:left="5760" w:hanging="360"/>
      </w:pPr>
    </w:lvl>
    <w:lvl w:ilvl="8" w:tplc="C620454E"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09"/>
    <w:rsid w:val="000A1224"/>
    <w:rsid w:val="00102FCB"/>
    <w:rsid w:val="001631B2"/>
    <w:rsid w:val="001B7640"/>
    <w:rsid w:val="0028496D"/>
    <w:rsid w:val="00287248"/>
    <w:rsid w:val="002A4809"/>
    <w:rsid w:val="002A4A88"/>
    <w:rsid w:val="00477FF7"/>
    <w:rsid w:val="0049209E"/>
    <w:rsid w:val="004F2AC9"/>
    <w:rsid w:val="00576F29"/>
    <w:rsid w:val="005B0AE7"/>
    <w:rsid w:val="006705C3"/>
    <w:rsid w:val="00682E87"/>
    <w:rsid w:val="006E46FD"/>
    <w:rsid w:val="006E7E30"/>
    <w:rsid w:val="007358EB"/>
    <w:rsid w:val="007B4260"/>
    <w:rsid w:val="00855484"/>
    <w:rsid w:val="0089403F"/>
    <w:rsid w:val="008D2CF8"/>
    <w:rsid w:val="00A1470E"/>
    <w:rsid w:val="00A452B1"/>
    <w:rsid w:val="00B12ADE"/>
    <w:rsid w:val="00C706BC"/>
    <w:rsid w:val="00E20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biotechnology.com"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avid.schull@russopartnersll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as.marathis@russopartnersll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r@pumabiotechnology.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pumabiotechnology.co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2014-08-11T18:59:00Z</dcterms:created>
  <dcterms:modified xsi:type="dcterms:W3CDTF">2014-08-11T18:59:00Z</dcterms:modified>
</cp:coreProperties>
</file>