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7F43" w14:textId="151A0ACE" w:rsidR="00B2198E" w:rsidRPr="00E20E4E" w:rsidRDefault="00E10D53">
      <w:pPr>
        <w:autoSpaceDE/>
        <w:autoSpaceDN/>
        <w:adjustRightInd/>
        <w:spacing w:before="99" w:after="0"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inline distT="0" distB="0" distL="0" distR="0" wp14:anchorId="7D946242" wp14:editId="408A692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800147"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14:paraId="05FAEBAF" w14:textId="77777777" w:rsidR="00B2198E" w:rsidRDefault="00373E5C">
      <w:pPr>
        <w:autoSpaceDE/>
        <w:autoSpaceDN/>
        <w:adjustRightInd/>
        <w:spacing w:before="4" w:after="0" w:line="170" w:lineRule="exact"/>
        <w:rPr>
          <w:rFonts w:eastAsia="Times New Roman" w:cs="Times New Roman"/>
          <w:sz w:val="17"/>
          <w:szCs w:val="24"/>
        </w:rPr>
      </w:pPr>
    </w:p>
    <w:p w14:paraId="063050DA" w14:textId="77777777" w:rsidR="00B2198E" w:rsidRPr="00714C36" w:rsidRDefault="00E10D53" w:rsidP="00B2198E">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14:paraId="069A639E" w14:textId="77777777" w:rsidR="00B2198E" w:rsidRDefault="00373E5C">
      <w:pPr>
        <w:autoSpaceDE/>
        <w:autoSpaceDN/>
        <w:adjustRightInd/>
        <w:spacing w:after="0" w:line="140" w:lineRule="exact"/>
        <w:rPr>
          <w:rFonts w:eastAsia="Times New Roman" w:cs="Times New Roman"/>
          <w:sz w:val="14"/>
          <w:szCs w:val="24"/>
        </w:rPr>
      </w:pPr>
    </w:p>
    <w:p w14:paraId="6BEC633D" w14:textId="77777777" w:rsidR="00B2198E" w:rsidRDefault="00373E5C">
      <w:pPr>
        <w:autoSpaceDE/>
        <w:autoSpaceDN/>
        <w:adjustRightInd/>
        <w:spacing w:after="0" w:line="200" w:lineRule="exact"/>
        <w:rPr>
          <w:rFonts w:eastAsia="Times New Roman" w:cs="Times New Roman"/>
          <w:sz w:val="28"/>
          <w:szCs w:val="24"/>
        </w:rPr>
      </w:pPr>
    </w:p>
    <w:p w14:paraId="66A8046D" w14:textId="77777777" w:rsidR="00C8030F" w:rsidRDefault="00E10D53" w:rsidP="00654915">
      <w:pPr>
        <w:autoSpaceDE/>
        <w:autoSpaceDN/>
        <w:adjustRightInd/>
        <w:spacing w:before="120" w:after="6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Puma Biotechnology Reports Fourth Quarter and Full Year </w:t>
      </w:r>
    </w:p>
    <w:p w14:paraId="56BECA19" w14:textId="77777777" w:rsidR="00324513" w:rsidRDefault="00E10D53" w:rsidP="00654915">
      <w:pPr>
        <w:autoSpaceDE/>
        <w:autoSpaceDN/>
        <w:adjustRightInd/>
        <w:spacing w:before="120" w:after="6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2018 Financial Results </w:t>
      </w:r>
    </w:p>
    <w:p w14:paraId="705C0EA0" w14:textId="77777777" w:rsidR="00324513" w:rsidRDefault="00373E5C" w:rsidP="00B2198E">
      <w:pPr>
        <w:autoSpaceDE/>
        <w:autoSpaceDN/>
        <w:adjustRightInd/>
        <w:spacing w:after="0" w:line="230" w:lineRule="auto"/>
        <w:ind w:right="53"/>
        <w:jc w:val="both"/>
        <w:rPr>
          <w:rFonts w:ascii="Times New Roman" w:eastAsia="Times New Roman" w:hAnsi="Times New Roman" w:cs="Times New Roman"/>
          <w:b/>
        </w:rPr>
      </w:pPr>
    </w:p>
    <w:p w14:paraId="16A9FF65" w14:textId="77777777" w:rsidR="00B2198E" w:rsidRDefault="00E10D53" w:rsidP="00B2198E">
      <w:pPr>
        <w:autoSpaceDE/>
        <w:autoSpaceDN/>
        <w:adjustRightInd/>
        <w:spacing w:after="0" w:line="230" w:lineRule="auto"/>
        <w:ind w:right="53"/>
        <w:jc w:val="both"/>
        <w:rPr>
          <w:rFonts w:ascii="Times New Roman" w:eastAsia="Times New Roman" w:hAnsi="Times New Roman" w:cs="Times New Roman"/>
        </w:rPr>
      </w:pPr>
      <w:r w:rsidRPr="00245C76">
        <w:rPr>
          <w:rFonts w:ascii="Times New Roman" w:eastAsia="Times New Roman" w:hAnsi="Times New Roman" w:cs="Times New Roman"/>
          <w:b/>
        </w:rPr>
        <w:t>LOS</w:t>
      </w:r>
      <w:r w:rsidRPr="00245C76">
        <w:rPr>
          <w:rFonts w:ascii="Times New Roman" w:eastAsia="Times New Roman" w:hAnsi="Times New Roman" w:cs="Times New Roman"/>
          <w:b/>
          <w:spacing w:val="1"/>
        </w:rPr>
        <w:t xml:space="preserve"> </w:t>
      </w:r>
      <w:r w:rsidRPr="00245C76">
        <w:rPr>
          <w:rFonts w:ascii="Times New Roman" w:eastAsia="Times New Roman" w:hAnsi="Times New Roman" w:cs="Times New Roman"/>
          <w:b/>
        </w:rPr>
        <w:t>A</w:t>
      </w:r>
      <w:r w:rsidRPr="00245C76">
        <w:rPr>
          <w:rFonts w:ascii="Times New Roman" w:eastAsia="Times New Roman" w:hAnsi="Times New Roman" w:cs="Times New Roman"/>
          <w:b/>
          <w:spacing w:val="-1"/>
        </w:rPr>
        <w:t>N</w:t>
      </w:r>
      <w:r w:rsidRPr="00245C76">
        <w:rPr>
          <w:rFonts w:ascii="Times New Roman" w:eastAsia="Times New Roman" w:hAnsi="Times New Roman" w:cs="Times New Roman"/>
          <w:b/>
        </w:rPr>
        <w:t>GEL</w:t>
      </w:r>
      <w:r w:rsidRPr="00245C76">
        <w:rPr>
          <w:rFonts w:ascii="Times New Roman" w:eastAsia="Times New Roman" w:hAnsi="Times New Roman" w:cs="Times New Roman"/>
          <w:b/>
          <w:spacing w:val="-1"/>
        </w:rPr>
        <w:t>E</w:t>
      </w:r>
      <w:r w:rsidRPr="00245C76">
        <w:rPr>
          <w:rFonts w:ascii="Times New Roman" w:eastAsia="Times New Roman" w:hAnsi="Times New Roman" w:cs="Times New Roman"/>
          <w:b/>
        </w:rPr>
        <w:t>S,</w:t>
      </w:r>
      <w:r w:rsidRPr="00245C76">
        <w:rPr>
          <w:rFonts w:ascii="Times New Roman" w:eastAsia="Times New Roman" w:hAnsi="Times New Roman" w:cs="Times New Roman"/>
          <w:b/>
          <w:spacing w:val="2"/>
        </w:rPr>
        <w:t xml:space="preserve"> </w:t>
      </w:r>
      <w:r>
        <w:rPr>
          <w:rFonts w:ascii="Times New Roman" w:eastAsia="Times New Roman" w:hAnsi="Times New Roman" w:cs="Times New Roman"/>
          <w:b/>
          <w:spacing w:val="2"/>
        </w:rPr>
        <w:t>Calif</w:t>
      </w:r>
      <w:r w:rsidRPr="00726766">
        <w:rPr>
          <w:rFonts w:ascii="Times New Roman" w:eastAsia="Times New Roman" w:hAnsi="Times New Roman" w:cs="Times New Roman"/>
          <w:b/>
          <w:spacing w:val="2"/>
        </w:rPr>
        <w:t xml:space="preserve">., </w:t>
      </w:r>
      <w:r w:rsidRPr="00C87787">
        <w:rPr>
          <w:rFonts w:ascii="Times New Roman" w:eastAsia="Times New Roman" w:hAnsi="Times New Roman" w:cs="Times New Roman"/>
          <w:b/>
        </w:rPr>
        <w:t>Feb. 28,</w:t>
      </w:r>
      <w:r w:rsidRPr="00ED6926">
        <w:rPr>
          <w:rFonts w:ascii="Times New Roman" w:eastAsia="Times New Roman" w:hAnsi="Times New Roman" w:cs="Times New Roman"/>
          <w:b/>
        </w:rPr>
        <w:t xml:space="preserve"> 201</w:t>
      </w:r>
      <w:r>
        <w:rPr>
          <w:rFonts w:ascii="Times New Roman" w:eastAsia="Times New Roman" w:hAnsi="Times New Roman" w:cs="Times New Roman"/>
          <w:b/>
        </w:rPr>
        <w:t>9</w:t>
      </w:r>
      <w:r w:rsidRPr="00245C76">
        <w:rPr>
          <w:rFonts w:ascii="Times New Roman" w:eastAsia="Times New Roman" w:hAnsi="Times New Roman" w:cs="Times New Roman"/>
          <w:b/>
          <w:spacing w:val="1"/>
        </w:rPr>
        <w:t xml:space="preserve"> </w:t>
      </w:r>
      <w:r w:rsidRPr="00245C76">
        <w:rPr>
          <w:rFonts w:ascii="Symbol" w:eastAsia="Symbol" w:hAnsi="Symbol" w:cs="Times New Roman"/>
          <w:sz w:val="24"/>
          <w:szCs w:val="24"/>
        </w:rPr>
        <w:sym w:font="Symbol" w:char="F02D"/>
      </w:r>
      <w:r w:rsidRPr="00245C76">
        <w:rPr>
          <w:rFonts w:ascii="Times New Roman" w:eastAsia="Times New Roman" w:hAnsi="Times New Roman" w:cs="Times New Roman"/>
        </w:rPr>
        <w:t xml:space="preserve"> Pu</w:t>
      </w:r>
      <w:r w:rsidRPr="00245C76">
        <w:rPr>
          <w:rFonts w:ascii="Times New Roman" w:eastAsia="Times New Roman" w:hAnsi="Times New Roman" w:cs="Times New Roman"/>
          <w:spacing w:val="-2"/>
        </w:rPr>
        <w:t>m</w:t>
      </w:r>
      <w:r w:rsidRPr="00245C76">
        <w:rPr>
          <w:rFonts w:ascii="Times New Roman" w:eastAsia="Times New Roman" w:hAnsi="Times New Roman" w:cs="Times New Roman"/>
        </w:rPr>
        <w:t>a</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Biotechnology,</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Inc</w:t>
      </w:r>
      <w:r w:rsidRPr="00245C76">
        <w:rPr>
          <w:rFonts w:ascii="Times New Roman" w:eastAsia="Times New Roman" w:hAnsi="Times New Roman" w:cs="Times New Roman"/>
          <w:spacing w:val="-1"/>
        </w:rPr>
        <w:t>. (</w:t>
      </w:r>
      <w:r w:rsidRPr="00DF2135">
        <w:rPr>
          <w:rFonts w:ascii="Times New Roman" w:eastAsia="Times New Roman" w:hAnsi="Times New Roman" w:cs="Times New Roman"/>
          <w:spacing w:val="-1"/>
        </w:rPr>
        <w:t xml:space="preserve">NASDAQ: </w:t>
      </w:r>
      <w:r w:rsidRPr="00245C76">
        <w:rPr>
          <w:rFonts w:ascii="Times New Roman" w:eastAsia="Times New Roman" w:hAnsi="Times New Roman" w:cs="Times New Roman"/>
          <w:spacing w:val="-1"/>
        </w:rPr>
        <w:t>PBYI)</w:t>
      </w:r>
      <w:r w:rsidRPr="00245C76">
        <w:rPr>
          <w:rFonts w:ascii="Times New Roman" w:eastAsia="Times New Roman" w:hAnsi="Times New Roman" w:cs="Times New Roman"/>
        </w:rPr>
        <w:t>,</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a</w:t>
      </w:r>
      <w:r w:rsidRPr="00245C76">
        <w:rPr>
          <w:rFonts w:ascii="Times New Roman" w:eastAsia="Times New Roman" w:hAnsi="Times New Roman" w:cs="Times New Roman"/>
          <w:spacing w:val="3"/>
        </w:rPr>
        <w:t xml:space="preserve"> </w:t>
      </w:r>
      <w:r w:rsidRPr="00245C76">
        <w:rPr>
          <w:rFonts w:ascii="Times New Roman" w:eastAsia="Times New Roman" w:hAnsi="Times New Roman" w:cs="Times New Roman"/>
        </w:rPr>
        <w:t>biophar</w:t>
      </w:r>
      <w:r w:rsidRPr="00245C76">
        <w:rPr>
          <w:rFonts w:ascii="Times New Roman" w:eastAsia="Times New Roman" w:hAnsi="Times New Roman" w:cs="Times New Roman"/>
          <w:spacing w:val="-1"/>
        </w:rPr>
        <w:t>m</w:t>
      </w:r>
      <w:r w:rsidRPr="00245C76">
        <w:rPr>
          <w:rFonts w:ascii="Times New Roman" w:eastAsia="Times New Roman" w:hAnsi="Times New Roman" w:cs="Times New Roman"/>
        </w:rPr>
        <w:t>aceut</w:t>
      </w:r>
      <w:r w:rsidRPr="00245C76">
        <w:rPr>
          <w:rFonts w:ascii="Times New Roman" w:eastAsia="Times New Roman" w:hAnsi="Times New Roman" w:cs="Times New Roman"/>
          <w:spacing w:val="1"/>
        </w:rPr>
        <w:t>i</w:t>
      </w:r>
      <w:r w:rsidRPr="00245C76">
        <w:rPr>
          <w:rFonts w:ascii="Times New Roman" w:eastAsia="Times New Roman" w:hAnsi="Times New Roman" w:cs="Times New Roman"/>
          <w:spacing w:val="-1"/>
        </w:rPr>
        <w:t>c</w:t>
      </w:r>
      <w:r w:rsidRPr="00245C76">
        <w:rPr>
          <w:rFonts w:ascii="Times New Roman" w:eastAsia="Times New Roman" w:hAnsi="Times New Roman" w:cs="Times New Roman"/>
        </w:rPr>
        <w:t>al</w:t>
      </w:r>
      <w:r w:rsidRPr="00245C76">
        <w:rPr>
          <w:rFonts w:ascii="Times New Roman" w:eastAsia="Times New Roman" w:hAnsi="Times New Roman" w:cs="Times New Roman"/>
          <w:spacing w:val="1"/>
        </w:rPr>
        <w:t xml:space="preserve"> </w:t>
      </w:r>
      <w:r w:rsidRPr="00245C76">
        <w:rPr>
          <w:rFonts w:ascii="Times New Roman" w:eastAsia="Times New Roman" w:hAnsi="Times New Roman" w:cs="Times New Roman"/>
        </w:rPr>
        <w:t xml:space="preserve">company, </w:t>
      </w:r>
      <w:r w:rsidRPr="00245C76">
        <w:rPr>
          <w:rFonts w:ascii="Times New Roman" w:eastAsia="Times New Roman" w:hAnsi="Times New Roman" w:cs="Times New Roman"/>
          <w:lang w:val="en-GB"/>
        </w:rPr>
        <w:t>announced</w:t>
      </w:r>
      <w:r>
        <w:rPr>
          <w:rFonts w:ascii="Times New Roman" w:eastAsia="Times New Roman" w:hAnsi="Times New Roman" w:cs="Times New Roman"/>
          <w:lang w:val="en-GB"/>
        </w:rPr>
        <w:t xml:space="preserve"> financial results for the fourth</w:t>
      </w:r>
      <w:r w:rsidRPr="00245C76">
        <w:rPr>
          <w:rFonts w:ascii="Times New Roman" w:eastAsia="Times New Roman" w:hAnsi="Times New Roman" w:cs="Times New Roman"/>
          <w:lang w:val="en-GB"/>
        </w:rPr>
        <w:t xml:space="preserve"> quarter </w:t>
      </w:r>
      <w:r>
        <w:rPr>
          <w:rFonts w:ascii="Times New Roman" w:eastAsia="Times New Roman" w:hAnsi="Times New Roman" w:cs="Times New Roman"/>
          <w:lang w:val="en-GB"/>
        </w:rPr>
        <w:t xml:space="preserve">and year </w:t>
      </w:r>
      <w:r w:rsidRPr="00245C76">
        <w:rPr>
          <w:rFonts w:ascii="Times New Roman" w:eastAsia="Times New Roman" w:hAnsi="Times New Roman" w:cs="Times New Roman"/>
          <w:lang w:val="en-GB"/>
        </w:rPr>
        <w:t xml:space="preserve">ended </w:t>
      </w:r>
      <w:r>
        <w:rPr>
          <w:rFonts w:ascii="Times New Roman" w:eastAsia="Times New Roman" w:hAnsi="Times New Roman" w:cs="Times New Roman"/>
          <w:lang w:val="en-GB"/>
        </w:rPr>
        <w:t>December 31</w:t>
      </w:r>
      <w:r w:rsidRPr="00245C76">
        <w:rPr>
          <w:rFonts w:ascii="Times New Roman" w:eastAsia="Times New Roman" w:hAnsi="Times New Roman" w:cs="Times New Roman"/>
          <w:lang w:val="en-GB"/>
        </w:rPr>
        <w:t>, 201</w:t>
      </w:r>
      <w:r>
        <w:rPr>
          <w:rFonts w:ascii="Times New Roman" w:eastAsia="Times New Roman" w:hAnsi="Times New Roman" w:cs="Times New Roman"/>
          <w:lang w:val="en-GB"/>
        </w:rPr>
        <w:t>8</w:t>
      </w:r>
      <w:r w:rsidRPr="00245C76">
        <w:rPr>
          <w:rFonts w:ascii="Times New Roman" w:eastAsia="Times New Roman" w:hAnsi="Times New Roman" w:cs="Times New Roman"/>
          <w:lang w:val="en-GB"/>
        </w:rPr>
        <w:t>.</w:t>
      </w:r>
      <w:r>
        <w:rPr>
          <w:rFonts w:ascii="Times New Roman" w:eastAsia="Times New Roman" w:hAnsi="Times New Roman" w:cs="Times New Roman"/>
        </w:rPr>
        <w:t xml:space="preserve"> </w:t>
      </w:r>
      <w:r w:rsidRPr="00245C76">
        <w:rPr>
          <w:rFonts w:ascii="Times New Roman" w:eastAsia="Times New Roman" w:hAnsi="Times New Roman" w:cs="Times New Roman"/>
        </w:rPr>
        <w:t xml:space="preserve">Unless otherwise stated, all comparisons </w:t>
      </w:r>
      <w:r w:rsidRPr="003F358B">
        <w:rPr>
          <w:rFonts w:ascii="Times New Roman" w:eastAsia="Times New Roman" w:hAnsi="Times New Roman" w:cs="Times New Roman"/>
        </w:rPr>
        <w:t>are for the f</w:t>
      </w:r>
      <w:r>
        <w:rPr>
          <w:rFonts w:ascii="Times New Roman" w:eastAsia="Times New Roman" w:hAnsi="Times New Roman" w:cs="Times New Roman"/>
        </w:rPr>
        <w:t>ourth quarter and full year 2018,</w:t>
      </w:r>
      <w:r w:rsidRPr="003F358B">
        <w:rPr>
          <w:rFonts w:ascii="Times New Roman" w:eastAsia="Times New Roman" w:hAnsi="Times New Roman" w:cs="Times New Roman"/>
        </w:rPr>
        <w:t xml:space="preserve"> compared to the fou</w:t>
      </w:r>
      <w:r>
        <w:rPr>
          <w:rFonts w:ascii="Times New Roman" w:eastAsia="Times New Roman" w:hAnsi="Times New Roman" w:cs="Times New Roman"/>
        </w:rPr>
        <w:t>rth quarter and full year 2017.</w:t>
      </w:r>
    </w:p>
    <w:p w14:paraId="12B7957E" w14:textId="77777777" w:rsidR="00F20EBC" w:rsidRDefault="00373E5C" w:rsidP="00B2198E">
      <w:pPr>
        <w:autoSpaceDE/>
        <w:autoSpaceDN/>
        <w:adjustRightInd/>
        <w:spacing w:after="0" w:line="230" w:lineRule="auto"/>
        <w:ind w:right="53"/>
        <w:jc w:val="both"/>
        <w:rPr>
          <w:rFonts w:ascii="Times New Roman" w:eastAsia="Times New Roman" w:hAnsi="Times New Roman" w:cs="Times New Roman"/>
        </w:rPr>
      </w:pPr>
    </w:p>
    <w:p w14:paraId="27EEC769" w14:textId="77777777" w:rsidR="00B2198E" w:rsidRDefault="00E10D53" w:rsidP="00B2198E">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rPr>
        <w:t>Product revenue, net consists entirely of sales revenue from NERLYNX, Puma’s first commercial product</w:t>
      </w:r>
      <w:r w:rsidR="00481986">
        <w:rPr>
          <w:rFonts w:ascii="Times New Roman" w:eastAsia="Times New Roman" w:hAnsi="Times New Roman" w:cs="Times New Roman"/>
        </w:rPr>
        <w:t xml:space="preserve">. </w:t>
      </w:r>
      <w:r w:rsidRPr="008839DE">
        <w:rPr>
          <w:rFonts w:ascii="Times New Roman" w:eastAsia="Times New Roman" w:hAnsi="Times New Roman" w:cs="Times New Roman"/>
        </w:rPr>
        <w:t>Net</w:t>
      </w:r>
      <w:r>
        <w:rPr>
          <w:rFonts w:ascii="Times New Roman" w:eastAsia="Times New Roman" w:hAnsi="Times New Roman" w:cs="Times New Roman"/>
        </w:rPr>
        <w:t xml:space="preserve"> NERLYNX </w:t>
      </w:r>
      <w:r w:rsidRPr="008839DE">
        <w:rPr>
          <w:rFonts w:ascii="Times New Roman" w:eastAsia="Times New Roman" w:hAnsi="Times New Roman" w:cs="Times New Roman"/>
        </w:rPr>
        <w:t xml:space="preserve">revenue in the </w:t>
      </w:r>
      <w:r>
        <w:rPr>
          <w:rFonts w:ascii="Times New Roman" w:eastAsia="Times New Roman" w:hAnsi="Times New Roman" w:cs="Times New Roman"/>
        </w:rPr>
        <w:t>fourth</w:t>
      </w:r>
      <w:r w:rsidRPr="008839DE">
        <w:rPr>
          <w:rFonts w:ascii="Times New Roman" w:eastAsia="Times New Roman" w:hAnsi="Times New Roman" w:cs="Times New Roman"/>
        </w:rPr>
        <w:t xml:space="preserve"> quarter of 2018 was $</w:t>
      </w:r>
      <w:r>
        <w:rPr>
          <w:rFonts w:ascii="Times New Roman" w:eastAsia="Times New Roman" w:hAnsi="Times New Roman" w:cs="Times New Roman"/>
        </w:rPr>
        <w:t>61.1</w:t>
      </w:r>
      <w:r w:rsidRPr="008839DE">
        <w:rPr>
          <w:rFonts w:ascii="Times New Roman" w:eastAsia="Times New Roman" w:hAnsi="Times New Roman" w:cs="Times New Roman"/>
        </w:rPr>
        <w:t xml:space="preserve"> million, compared to net </w:t>
      </w:r>
      <w:r>
        <w:rPr>
          <w:rFonts w:ascii="Times New Roman" w:eastAsia="Times New Roman" w:hAnsi="Times New Roman" w:cs="Times New Roman"/>
        </w:rPr>
        <w:t>NERLYNX</w:t>
      </w:r>
      <w:r w:rsidRPr="008839DE">
        <w:rPr>
          <w:rFonts w:ascii="Times New Roman" w:eastAsia="Times New Roman" w:hAnsi="Times New Roman" w:cs="Times New Roman"/>
        </w:rPr>
        <w:t xml:space="preserve"> revenue of $20.1</w:t>
      </w:r>
      <w:r>
        <w:rPr>
          <w:rFonts w:ascii="Times New Roman" w:eastAsia="Times New Roman" w:hAnsi="Times New Roman" w:cs="Times New Roman"/>
        </w:rPr>
        <w:t xml:space="preserve"> </w:t>
      </w:r>
      <w:r w:rsidRPr="008839DE">
        <w:rPr>
          <w:rFonts w:ascii="Times New Roman" w:eastAsia="Times New Roman" w:hAnsi="Times New Roman" w:cs="Times New Roman"/>
        </w:rPr>
        <w:t xml:space="preserve">million in the </w:t>
      </w:r>
      <w:r>
        <w:rPr>
          <w:rFonts w:ascii="Times New Roman" w:eastAsia="Times New Roman" w:hAnsi="Times New Roman" w:cs="Times New Roman"/>
        </w:rPr>
        <w:t>fourth</w:t>
      </w:r>
      <w:r w:rsidRPr="008839DE">
        <w:rPr>
          <w:rFonts w:ascii="Times New Roman" w:eastAsia="Times New Roman" w:hAnsi="Times New Roman" w:cs="Times New Roman"/>
        </w:rPr>
        <w:t xml:space="preserve"> quarter of 2</w:t>
      </w:r>
      <w:r>
        <w:rPr>
          <w:rFonts w:ascii="Times New Roman" w:eastAsia="Times New Roman" w:hAnsi="Times New Roman" w:cs="Times New Roman"/>
        </w:rPr>
        <w:t xml:space="preserve">017. </w:t>
      </w:r>
      <w:r w:rsidRPr="008839DE">
        <w:rPr>
          <w:rFonts w:ascii="Times New Roman" w:eastAsia="Times New Roman" w:hAnsi="Times New Roman" w:cs="Times New Roman"/>
        </w:rPr>
        <w:t>Net</w:t>
      </w:r>
      <w:r>
        <w:rPr>
          <w:rFonts w:ascii="Times New Roman" w:eastAsia="Times New Roman" w:hAnsi="Times New Roman" w:cs="Times New Roman"/>
        </w:rPr>
        <w:t xml:space="preserve"> NERLYNX</w:t>
      </w:r>
      <w:r w:rsidRPr="008839DE">
        <w:rPr>
          <w:rFonts w:ascii="Times New Roman" w:eastAsia="Times New Roman" w:hAnsi="Times New Roman" w:cs="Times New Roman"/>
        </w:rPr>
        <w:t xml:space="preserve"> revenue </w:t>
      </w:r>
      <w:r>
        <w:rPr>
          <w:rFonts w:ascii="Times New Roman" w:eastAsia="Times New Roman" w:hAnsi="Times New Roman" w:cs="Times New Roman"/>
        </w:rPr>
        <w:t>for the full year</w:t>
      </w:r>
      <w:r w:rsidRPr="008839DE">
        <w:rPr>
          <w:rFonts w:ascii="Times New Roman" w:eastAsia="Times New Roman" w:hAnsi="Times New Roman" w:cs="Times New Roman"/>
        </w:rPr>
        <w:t xml:space="preserve"> 2018 was $</w:t>
      </w:r>
      <w:r>
        <w:rPr>
          <w:rFonts w:ascii="Times New Roman" w:eastAsia="Times New Roman" w:hAnsi="Times New Roman" w:cs="Times New Roman"/>
        </w:rPr>
        <w:t>200.5</w:t>
      </w:r>
      <w:r w:rsidRPr="008839DE">
        <w:rPr>
          <w:rFonts w:ascii="Times New Roman" w:eastAsia="Times New Roman" w:hAnsi="Times New Roman" w:cs="Times New Roman"/>
        </w:rPr>
        <w:t xml:space="preserve"> million, compared to net</w:t>
      </w:r>
      <w:r>
        <w:rPr>
          <w:rFonts w:ascii="Times New Roman" w:eastAsia="Times New Roman" w:hAnsi="Times New Roman" w:cs="Times New Roman"/>
        </w:rPr>
        <w:t xml:space="preserve"> NERLYNX</w:t>
      </w:r>
      <w:r w:rsidRPr="008839DE">
        <w:rPr>
          <w:rFonts w:ascii="Times New Roman" w:eastAsia="Times New Roman" w:hAnsi="Times New Roman" w:cs="Times New Roman"/>
        </w:rPr>
        <w:t xml:space="preserve"> revenue of $</w:t>
      </w:r>
      <w:r>
        <w:rPr>
          <w:rFonts w:ascii="Times New Roman" w:eastAsia="Times New Roman" w:hAnsi="Times New Roman" w:cs="Times New Roman"/>
        </w:rPr>
        <w:t xml:space="preserve">26.2 </w:t>
      </w:r>
      <w:r w:rsidRPr="008839DE">
        <w:rPr>
          <w:rFonts w:ascii="Times New Roman" w:eastAsia="Times New Roman" w:hAnsi="Times New Roman" w:cs="Times New Roman"/>
        </w:rPr>
        <w:t>million in 2</w:t>
      </w:r>
      <w:r>
        <w:rPr>
          <w:rFonts w:ascii="Times New Roman" w:eastAsia="Times New Roman" w:hAnsi="Times New Roman" w:cs="Times New Roman"/>
        </w:rPr>
        <w:t xml:space="preserve">017.  </w:t>
      </w:r>
      <w:r w:rsidRPr="008839DE">
        <w:rPr>
          <w:rFonts w:ascii="Times New Roman" w:eastAsia="Times New Roman" w:hAnsi="Times New Roman" w:cs="Times New Roman"/>
        </w:rPr>
        <w:t xml:space="preserve">Puma received approval from the U.S. Food and Drug Administration (FDA) for NERLYNX (neratinib) for the treatment of early stage HER2-positive breast cancer following adjuvant trastuzumab-based therapy on July 17, 2017, and the Company began shipment to wholesalers at the end of July 2017.  </w:t>
      </w:r>
    </w:p>
    <w:p w14:paraId="0E64C94F" w14:textId="77777777" w:rsidR="008839DE" w:rsidRPr="00245C76" w:rsidRDefault="00373E5C" w:rsidP="00B2198E">
      <w:pPr>
        <w:autoSpaceDE/>
        <w:autoSpaceDN/>
        <w:adjustRightInd/>
        <w:spacing w:after="0" w:line="230" w:lineRule="auto"/>
        <w:ind w:right="53"/>
        <w:jc w:val="both"/>
        <w:rPr>
          <w:rFonts w:ascii="Times New Roman" w:eastAsia="Times New Roman" w:hAnsi="Times New Roman" w:cs="Times New Roman"/>
        </w:rPr>
      </w:pPr>
    </w:p>
    <w:p w14:paraId="4B8B9E16" w14:textId="77777777" w:rsidR="00B2198E" w:rsidRPr="00245C76" w:rsidRDefault="00E10D53" w:rsidP="00B2198E">
      <w:pPr>
        <w:autoSpaceDE/>
        <w:adjustRightInd/>
        <w:spacing w:after="0" w:line="228" w:lineRule="auto"/>
        <w:ind w:right="53"/>
        <w:jc w:val="both"/>
        <w:rPr>
          <w:rFonts w:ascii="Times New Roman" w:eastAsia="Times New Roman" w:hAnsi="Times New Roman" w:cs="Times New Roman"/>
        </w:rPr>
      </w:pPr>
      <w:r w:rsidRPr="00245C76">
        <w:rPr>
          <w:rFonts w:ascii="Times New Roman" w:eastAsia="Times New Roman" w:hAnsi="Times New Roman" w:cs="Times New Roman"/>
        </w:rPr>
        <w:t xml:space="preserve">Based on accounting principles generally accepted in the United States (GAAP), </w:t>
      </w:r>
      <w:r w:rsidRPr="00245C76">
        <w:rPr>
          <w:rFonts w:ascii="Times New Roman" w:eastAsia="Times New Roman" w:hAnsi="Times New Roman" w:cs="Times New Roman"/>
          <w:lang w:val="en-GB"/>
        </w:rPr>
        <w:t xml:space="preserve">Puma reported a </w:t>
      </w:r>
      <w:r w:rsidRPr="0002281A">
        <w:rPr>
          <w:rFonts w:ascii="Times New Roman" w:eastAsia="Times New Roman" w:hAnsi="Times New Roman" w:cs="Times New Roman"/>
          <w:lang w:val="en-GB"/>
        </w:rPr>
        <w:t xml:space="preserve">net </w:t>
      </w:r>
      <w:r w:rsidRPr="008D3520">
        <w:rPr>
          <w:rFonts w:ascii="Times New Roman" w:eastAsia="Times New Roman" w:hAnsi="Times New Roman" w:cs="Times New Roman"/>
          <w:lang w:val="en-GB"/>
        </w:rPr>
        <w:t>loss</w:t>
      </w:r>
      <w:r w:rsidRPr="00245C76">
        <w:rPr>
          <w:rFonts w:ascii="Times New Roman" w:eastAsia="Times New Roman" w:hAnsi="Times New Roman" w:cs="Times New Roman"/>
          <w:lang w:val="en-GB"/>
        </w:rPr>
        <w:t xml:space="preserve"> of $</w:t>
      </w:r>
      <w:r w:rsidR="00B26540">
        <w:rPr>
          <w:rFonts w:ascii="Times New Roman" w:eastAsia="Times New Roman" w:hAnsi="Times New Roman" w:cs="Times New Roman"/>
          <w:lang w:val="en-GB"/>
        </w:rPr>
        <w:t xml:space="preserve">30.7 </w:t>
      </w:r>
      <w:r w:rsidRPr="00245C76">
        <w:rPr>
          <w:rFonts w:ascii="Times New Roman" w:eastAsia="Times New Roman" w:hAnsi="Times New Roman" w:cs="Times New Roman"/>
          <w:lang w:val="en-GB"/>
        </w:rPr>
        <w:t>million, or $</w:t>
      </w:r>
      <w:r w:rsidR="00B26540">
        <w:rPr>
          <w:rFonts w:ascii="Times New Roman" w:eastAsia="Times New Roman" w:hAnsi="Times New Roman" w:cs="Times New Roman"/>
          <w:lang w:val="en-GB"/>
        </w:rPr>
        <w:t xml:space="preserve">0.80 </w:t>
      </w:r>
      <w:r>
        <w:rPr>
          <w:rFonts w:ascii="Times New Roman" w:eastAsia="Times New Roman" w:hAnsi="Times New Roman" w:cs="Times New Roman"/>
          <w:lang w:val="en-GB"/>
        </w:rPr>
        <w:t>per share, for the fourth</w:t>
      </w:r>
      <w:r w:rsidRPr="00245C76">
        <w:rPr>
          <w:rFonts w:ascii="Times New Roman" w:eastAsia="Times New Roman" w:hAnsi="Times New Roman" w:cs="Times New Roman"/>
          <w:lang w:val="en-GB"/>
        </w:rPr>
        <w:t xml:space="preserve"> quarter of </w:t>
      </w:r>
      <w:r>
        <w:rPr>
          <w:rFonts w:ascii="Times New Roman" w:eastAsia="Times New Roman" w:hAnsi="Times New Roman" w:cs="Times New Roman"/>
          <w:lang w:val="en-GB"/>
        </w:rPr>
        <w:t>2018</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compared to a net loss of $64.1 </w:t>
      </w:r>
      <w:r w:rsidRPr="00245C76">
        <w:rPr>
          <w:rFonts w:ascii="Times New Roman" w:eastAsia="Times New Roman" w:hAnsi="Times New Roman" w:cs="Times New Roman"/>
          <w:lang w:val="en-GB"/>
        </w:rPr>
        <w:t>million, o</w:t>
      </w:r>
      <w:r>
        <w:rPr>
          <w:rFonts w:ascii="Times New Roman" w:eastAsia="Times New Roman" w:hAnsi="Times New Roman" w:cs="Times New Roman"/>
          <w:lang w:val="en-GB"/>
        </w:rPr>
        <w:t>r $1.71 per share, for the fourth</w:t>
      </w:r>
      <w:r w:rsidRPr="00245C76">
        <w:rPr>
          <w:rFonts w:ascii="Times New Roman" w:eastAsia="Times New Roman" w:hAnsi="Times New Roman" w:cs="Times New Roman"/>
          <w:lang w:val="en-GB"/>
        </w:rPr>
        <w:t xml:space="preserve"> quarter of </w:t>
      </w:r>
      <w:r>
        <w:rPr>
          <w:rFonts w:ascii="Times New Roman" w:eastAsia="Times New Roman" w:hAnsi="Times New Roman" w:cs="Times New Roman"/>
          <w:lang w:val="en-GB"/>
        </w:rPr>
        <w:t>2017</w:t>
      </w:r>
      <w:r w:rsidRPr="00245C76">
        <w:rPr>
          <w:rFonts w:ascii="Times New Roman" w:eastAsia="Times New Roman" w:hAnsi="Times New Roman" w:cs="Times New Roman"/>
          <w:lang w:val="en-GB"/>
        </w:rPr>
        <w:t xml:space="preserve">. </w:t>
      </w:r>
      <w:r w:rsidRPr="008D3520">
        <w:rPr>
          <w:rFonts w:ascii="Times New Roman" w:eastAsia="Times New Roman" w:hAnsi="Times New Roman" w:cs="Times New Roman"/>
          <w:lang w:val="en-GB"/>
        </w:rPr>
        <w:t xml:space="preserve">Net loss </w:t>
      </w:r>
      <w:r w:rsidRPr="00245C76">
        <w:rPr>
          <w:rFonts w:ascii="Times New Roman" w:eastAsia="Times New Roman" w:hAnsi="Times New Roman" w:cs="Times New Roman"/>
          <w:lang w:val="en-GB"/>
        </w:rPr>
        <w:t>for th</w:t>
      </w:r>
      <w:r>
        <w:rPr>
          <w:rFonts w:ascii="Times New Roman" w:eastAsia="Times New Roman" w:hAnsi="Times New Roman" w:cs="Times New Roman"/>
          <w:lang w:val="en-GB"/>
        </w:rPr>
        <w:t>e full year 2018</w:t>
      </w:r>
      <w:r w:rsidRPr="00245C76">
        <w:rPr>
          <w:rFonts w:ascii="Times New Roman" w:eastAsia="Times New Roman" w:hAnsi="Times New Roman" w:cs="Times New Roman"/>
          <w:lang w:val="en-GB"/>
        </w:rPr>
        <w:t xml:space="preserve"> was $</w:t>
      </w:r>
      <w:r w:rsidR="00B26540">
        <w:rPr>
          <w:rFonts w:ascii="Times New Roman" w:eastAsia="Times New Roman" w:hAnsi="Times New Roman" w:cs="Times New Roman"/>
          <w:lang w:val="en-GB"/>
        </w:rPr>
        <w:t xml:space="preserve">113.6 </w:t>
      </w:r>
      <w:r w:rsidRPr="00245C76">
        <w:rPr>
          <w:rFonts w:ascii="Times New Roman" w:eastAsia="Times New Roman" w:hAnsi="Times New Roman" w:cs="Times New Roman"/>
          <w:lang w:val="en-GB"/>
        </w:rPr>
        <w:t>million, or $</w:t>
      </w:r>
      <w:r w:rsidR="00B26540">
        <w:rPr>
          <w:rFonts w:ascii="Times New Roman" w:eastAsia="Times New Roman" w:hAnsi="Times New Roman" w:cs="Times New Roman"/>
          <w:lang w:val="en-GB"/>
        </w:rPr>
        <w:t>2.99</w:t>
      </w:r>
      <w:r>
        <w:rPr>
          <w:rFonts w:ascii="Times New Roman" w:eastAsia="Times New Roman" w:hAnsi="Times New Roman" w:cs="Times New Roman"/>
          <w:lang w:val="en-GB"/>
        </w:rPr>
        <w:t xml:space="preserve"> </w:t>
      </w:r>
      <w:r w:rsidRPr="00245C76">
        <w:rPr>
          <w:rFonts w:ascii="Times New Roman" w:eastAsia="Times New Roman" w:hAnsi="Times New Roman" w:cs="Times New Roman"/>
          <w:lang w:val="en-GB"/>
        </w:rPr>
        <w:t>per share, c</w:t>
      </w:r>
      <w:r>
        <w:rPr>
          <w:rFonts w:ascii="Times New Roman" w:eastAsia="Times New Roman" w:hAnsi="Times New Roman" w:cs="Times New Roman"/>
          <w:lang w:val="en-GB"/>
        </w:rPr>
        <w:t>ompared to $292</w:t>
      </w:r>
      <w:r w:rsidRPr="00844E5E">
        <w:rPr>
          <w:rFonts w:ascii="Times New Roman" w:eastAsia="Times New Roman" w:hAnsi="Times New Roman" w:cs="Times New Roman"/>
          <w:lang w:val="en-GB"/>
        </w:rPr>
        <w:t xml:space="preserve">.0 </w:t>
      </w:r>
      <w:r>
        <w:rPr>
          <w:rFonts w:ascii="Times New Roman" w:eastAsia="Times New Roman" w:hAnsi="Times New Roman" w:cs="Times New Roman"/>
          <w:lang w:val="en-GB"/>
        </w:rPr>
        <w:t xml:space="preserve">million, or $7.85 </w:t>
      </w:r>
      <w:r w:rsidRPr="00245C76">
        <w:rPr>
          <w:rFonts w:ascii="Times New Roman" w:eastAsia="Times New Roman" w:hAnsi="Times New Roman" w:cs="Times New Roman"/>
          <w:lang w:val="en-GB"/>
        </w:rPr>
        <w:t xml:space="preserve">per share, for the </w:t>
      </w:r>
      <w:r>
        <w:rPr>
          <w:rFonts w:ascii="Times New Roman" w:eastAsia="Times New Roman" w:hAnsi="Times New Roman" w:cs="Times New Roman"/>
          <w:lang w:val="en-GB"/>
        </w:rPr>
        <w:t>full year 2017</w:t>
      </w:r>
      <w:r w:rsidRPr="00245C76">
        <w:rPr>
          <w:rFonts w:ascii="Times New Roman" w:eastAsia="Times New Roman" w:hAnsi="Times New Roman" w:cs="Times New Roman"/>
          <w:lang w:val="en-GB"/>
        </w:rPr>
        <w:t xml:space="preserve">.  </w:t>
      </w:r>
    </w:p>
    <w:p w14:paraId="463C8949" w14:textId="77777777" w:rsidR="00B2198E" w:rsidRPr="00245C76" w:rsidRDefault="00373E5C" w:rsidP="00B2198E">
      <w:pPr>
        <w:autoSpaceDE/>
        <w:autoSpaceDN/>
        <w:adjustRightInd/>
        <w:spacing w:after="0" w:line="230" w:lineRule="auto"/>
        <w:ind w:right="53"/>
        <w:jc w:val="both"/>
        <w:rPr>
          <w:rFonts w:ascii="Times New Roman" w:eastAsia="Times New Roman" w:hAnsi="Times New Roman" w:cs="Times New Roman"/>
          <w:lang w:val="en-GB"/>
        </w:rPr>
      </w:pPr>
    </w:p>
    <w:p w14:paraId="1B6B8073" w14:textId="77777777" w:rsidR="004F0E2A" w:rsidRDefault="00E10D53" w:rsidP="00B2198E">
      <w:pPr>
        <w:autoSpaceDE/>
        <w:autoSpaceDN/>
        <w:adjustRightInd/>
        <w:spacing w:after="0" w:line="230" w:lineRule="auto"/>
        <w:ind w:right="53"/>
        <w:jc w:val="both"/>
        <w:rPr>
          <w:rFonts w:ascii="Times New Roman" w:eastAsia="Times New Roman" w:hAnsi="Times New Roman" w:cs="Times New Roman"/>
        </w:rPr>
      </w:pPr>
      <w:r w:rsidRPr="00245C76">
        <w:rPr>
          <w:rFonts w:ascii="Times New Roman" w:eastAsia="Times New Roman" w:hAnsi="Times New Roman" w:cs="Times New Roman"/>
          <w:lang w:val="en-GB"/>
        </w:rPr>
        <w:t xml:space="preserve">Non-GAAP adjusted net </w:t>
      </w:r>
      <w:r w:rsidRPr="00BC758D">
        <w:rPr>
          <w:rFonts w:ascii="Times New Roman" w:eastAsia="Times New Roman" w:hAnsi="Times New Roman" w:cs="Times New Roman"/>
          <w:lang w:val="en-GB"/>
        </w:rPr>
        <w:t>loss was $</w:t>
      </w:r>
      <w:r w:rsidR="00B26540">
        <w:rPr>
          <w:rFonts w:ascii="Times New Roman" w:eastAsia="Times New Roman" w:hAnsi="Times New Roman" w:cs="Times New Roman"/>
          <w:lang w:val="en-GB"/>
        </w:rPr>
        <w:t>12</w:t>
      </w:r>
      <w:r>
        <w:rPr>
          <w:rFonts w:ascii="Times New Roman" w:eastAsia="Times New Roman" w:hAnsi="Times New Roman" w:cs="Times New Roman"/>
          <w:lang w:val="en-GB"/>
        </w:rPr>
        <w:t xml:space="preserve">.2 </w:t>
      </w:r>
      <w:r w:rsidRPr="00245C76">
        <w:rPr>
          <w:rFonts w:ascii="Times New Roman" w:eastAsia="Times New Roman" w:hAnsi="Times New Roman" w:cs="Times New Roman"/>
          <w:lang w:val="en-GB"/>
        </w:rPr>
        <w:t>million, or $</w:t>
      </w:r>
      <w:r>
        <w:rPr>
          <w:rFonts w:ascii="Times New Roman" w:eastAsia="Times New Roman" w:hAnsi="Times New Roman" w:cs="Times New Roman"/>
          <w:lang w:val="en-GB"/>
        </w:rPr>
        <w:t>0.</w:t>
      </w:r>
      <w:r w:rsidR="00437CA1">
        <w:rPr>
          <w:rFonts w:ascii="Times New Roman" w:eastAsia="Times New Roman" w:hAnsi="Times New Roman" w:cs="Times New Roman"/>
          <w:lang w:val="en-GB"/>
        </w:rPr>
        <w:t xml:space="preserve">32 </w:t>
      </w:r>
      <w:r>
        <w:rPr>
          <w:rFonts w:ascii="Times New Roman" w:eastAsia="Times New Roman" w:hAnsi="Times New Roman" w:cs="Times New Roman"/>
          <w:lang w:val="en-GB"/>
        </w:rPr>
        <w:t>per share, for the fourth</w:t>
      </w:r>
      <w:r w:rsidRPr="00245C76">
        <w:rPr>
          <w:rFonts w:ascii="Times New Roman" w:eastAsia="Times New Roman" w:hAnsi="Times New Roman" w:cs="Times New Roman"/>
          <w:lang w:val="en-GB"/>
        </w:rPr>
        <w:t xml:space="preserve"> quarter of </w:t>
      </w:r>
      <w:r>
        <w:rPr>
          <w:rFonts w:ascii="Times New Roman" w:eastAsia="Times New Roman" w:hAnsi="Times New Roman" w:cs="Times New Roman"/>
          <w:lang w:val="en-GB"/>
        </w:rPr>
        <w:t>2018</w:t>
      </w:r>
      <w:r w:rsidRPr="00245C76">
        <w:rPr>
          <w:rFonts w:ascii="Times New Roman" w:eastAsia="Times New Roman" w:hAnsi="Times New Roman" w:cs="Times New Roman"/>
          <w:lang w:val="en-GB"/>
        </w:rPr>
        <w:t xml:space="preserve">, compared </w:t>
      </w:r>
      <w:r w:rsidRPr="0027620A">
        <w:rPr>
          <w:rFonts w:ascii="Times New Roman" w:eastAsia="Times New Roman" w:hAnsi="Times New Roman" w:cs="Times New Roman"/>
          <w:lang w:val="en-GB"/>
        </w:rPr>
        <w:t xml:space="preserve">to </w:t>
      </w:r>
      <w:r w:rsidRPr="00BC758D">
        <w:rPr>
          <w:rFonts w:ascii="Times New Roman" w:eastAsia="Times New Roman" w:hAnsi="Times New Roman" w:cs="Times New Roman"/>
          <w:lang w:val="en-GB"/>
        </w:rPr>
        <w:t>non-GAAP adjusted net loss of $38.6 million, or $1.03 per share, for the fourth quarter of 2017. Non-GAAP</w:t>
      </w:r>
      <w:r w:rsidRPr="00245C76">
        <w:rPr>
          <w:rFonts w:ascii="Times New Roman" w:eastAsia="Times New Roman" w:hAnsi="Times New Roman" w:cs="Times New Roman"/>
          <w:lang w:val="en-GB"/>
        </w:rPr>
        <w:t xml:space="preserve"> adjusted net loss for the </w:t>
      </w:r>
      <w:r>
        <w:rPr>
          <w:rFonts w:ascii="Times New Roman" w:eastAsia="Times New Roman" w:hAnsi="Times New Roman" w:cs="Times New Roman"/>
          <w:lang w:val="en-GB"/>
        </w:rPr>
        <w:t>full year 2018</w:t>
      </w:r>
      <w:r w:rsidRPr="00245C76">
        <w:rPr>
          <w:rFonts w:ascii="Times New Roman" w:eastAsia="Times New Roman" w:hAnsi="Times New Roman" w:cs="Times New Roman"/>
          <w:lang w:val="en-GB"/>
        </w:rPr>
        <w:t xml:space="preserve"> was $</w:t>
      </w:r>
      <w:r w:rsidR="00B26540">
        <w:rPr>
          <w:rFonts w:ascii="Times New Roman" w:eastAsia="Times New Roman" w:hAnsi="Times New Roman" w:cs="Times New Roman"/>
          <w:lang w:val="en-GB"/>
        </w:rPr>
        <w:t>2</w:t>
      </w:r>
      <w:r>
        <w:rPr>
          <w:rFonts w:ascii="Times New Roman" w:eastAsia="Times New Roman" w:hAnsi="Times New Roman" w:cs="Times New Roman"/>
          <w:lang w:val="en-GB"/>
        </w:rPr>
        <w:t>6.7</w:t>
      </w:r>
      <w:r w:rsidRPr="00245C76">
        <w:rPr>
          <w:rFonts w:ascii="Times New Roman" w:eastAsia="Times New Roman" w:hAnsi="Times New Roman" w:cs="Times New Roman"/>
          <w:lang w:val="en-GB"/>
        </w:rPr>
        <w:t xml:space="preserve"> million, or $</w:t>
      </w:r>
      <w:bookmarkStart w:id="0" w:name="_Hlk506209771"/>
      <w:r>
        <w:rPr>
          <w:rFonts w:ascii="Times New Roman" w:eastAsia="Times New Roman" w:hAnsi="Times New Roman" w:cs="Times New Roman"/>
          <w:lang w:val="en-GB"/>
        </w:rPr>
        <w:t>0.</w:t>
      </w:r>
      <w:bookmarkEnd w:id="0"/>
      <w:r w:rsidR="00437CA1">
        <w:rPr>
          <w:rFonts w:ascii="Times New Roman" w:eastAsia="Times New Roman" w:hAnsi="Times New Roman" w:cs="Times New Roman"/>
          <w:lang w:val="en-GB"/>
        </w:rPr>
        <w:t xml:space="preserve">70 </w:t>
      </w:r>
      <w:r>
        <w:rPr>
          <w:rFonts w:ascii="Times New Roman" w:eastAsia="Times New Roman" w:hAnsi="Times New Roman" w:cs="Times New Roman"/>
          <w:lang w:val="en-GB"/>
        </w:rPr>
        <w:t>per share, compared to non-GAAP adjusted net loss of $</w:t>
      </w:r>
      <w:r w:rsidRPr="008811CE">
        <w:rPr>
          <w:rFonts w:ascii="Times New Roman" w:eastAsia="Times New Roman" w:hAnsi="Times New Roman" w:cs="Times New Roman"/>
          <w:lang w:val="en-GB"/>
        </w:rPr>
        <w:t>183.3 million</w:t>
      </w:r>
      <w:r>
        <w:rPr>
          <w:rFonts w:ascii="Times New Roman" w:eastAsia="Times New Roman" w:hAnsi="Times New Roman" w:cs="Times New Roman"/>
          <w:lang w:val="en-GB"/>
        </w:rPr>
        <w:t xml:space="preserve">, or $4.93 </w:t>
      </w:r>
      <w:r w:rsidRPr="00245C76">
        <w:rPr>
          <w:rFonts w:ascii="Times New Roman" w:eastAsia="Times New Roman" w:hAnsi="Times New Roman" w:cs="Times New Roman"/>
          <w:lang w:val="en-GB"/>
        </w:rPr>
        <w:t xml:space="preserve">per share, for the </w:t>
      </w:r>
      <w:r>
        <w:rPr>
          <w:rFonts w:ascii="Times New Roman" w:eastAsia="Times New Roman" w:hAnsi="Times New Roman" w:cs="Times New Roman"/>
          <w:lang w:val="en-GB"/>
        </w:rPr>
        <w:t xml:space="preserve">full year 2017. </w:t>
      </w:r>
      <w:r w:rsidRPr="00245C76">
        <w:rPr>
          <w:rFonts w:ascii="Times New Roman" w:eastAsia="Times New Roman" w:hAnsi="Times New Roman" w:cs="Times New Roman"/>
          <w:lang w:val="en-GB"/>
        </w:rPr>
        <w:t>Non-GAAP adjusted net loss</w:t>
      </w:r>
      <w:r w:rsidRPr="00245C76">
        <w:rPr>
          <w:rFonts w:ascii="Times New Roman" w:eastAsia="Times New Roman" w:hAnsi="Times New Roman" w:cs="Times New Roman"/>
        </w:rPr>
        <w:t xml:space="preserve"> excludes stock-based compensation expense</w:t>
      </w:r>
      <w:r>
        <w:rPr>
          <w:rFonts w:ascii="Times New Roman" w:eastAsia="Times New Roman" w:hAnsi="Times New Roman" w:cs="Times New Roman"/>
        </w:rPr>
        <w:t>.</w:t>
      </w:r>
      <w:r w:rsidRPr="0002281A">
        <w:rPr>
          <w:rFonts w:ascii="Times New Roman" w:eastAsia="Times New Roman" w:hAnsi="Times New Roman" w:cs="Times New Roman"/>
        </w:rPr>
        <w:t xml:space="preserve"> For a reconciliation of </w:t>
      </w:r>
      <w:r>
        <w:rPr>
          <w:rFonts w:ascii="Times New Roman" w:eastAsia="Times New Roman" w:hAnsi="Times New Roman" w:cs="Times New Roman"/>
        </w:rPr>
        <w:t>GAAP net loss to non-GAAP adjusted net loss and GAAP net loss per share to non-GAAP</w:t>
      </w:r>
      <w:r w:rsidRPr="0002281A">
        <w:rPr>
          <w:rFonts w:ascii="Times New Roman" w:eastAsia="Times New Roman" w:hAnsi="Times New Roman" w:cs="Times New Roman"/>
        </w:rPr>
        <w:t xml:space="preserve"> </w:t>
      </w:r>
      <w:r>
        <w:rPr>
          <w:rFonts w:ascii="Times New Roman" w:eastAsia="Times New Roman" w:hAnsi="Times New Roman" w:cs="Times New Roman"/>
        </w:rPr>
        <w:t xml:space="preserve">adjusted net loss per share, </w:t>
      </w:r>
      <w:r w:rsidRPr="0002281A">
        <w:rPr>
          <w:rFonts w:ascii="Times New Roman" w:eastAsia="Times New Roman" w:hAnsi="Times New Roman" w:cs="Times New Roman"/>
        </w:rPr>
        <w:t>please see the financial tables at the end of this news release.</w:t>
      </w:r>
      <w:r w:rsidRPr="00245C76">
        <w:rPr>
          <w:rFonts w:ascii="Times New Roman" w:eastAsia="Times New Roman" w:hAnsi="Times New Roman" w:cs="Times New Roman"/>
        </w:rPr>
        <w:t xml:space="preserve"> </w:t>
      </w:r>
    </w:p>
    <w:p w14:paraId="062B87D5" w14:textId="77777777" w:rsidR="00E51B28" w:rsidRPr="00245C76" w:rsidRDefault="00373E5C" w:rsidP="00B2198E">
      <w:pPr>
        <w:autoSpaceDE/>
        <w:autoSpaceDN/>
        <w:adjustRightInd/>
        <w:spacing w:after="0" w:line="230" w:lineRule="auto"/>
        <w:ind w:right="53"/>
        <w:jc w:val="both"/>
        <w:rPr>
          <w:rFonts w:ascii="Times New Roman" w:eastAsia="Times New Roman" w:hAnsi="Times New Roman" w:cs="Times New Roman"/>
          <w:lang w:val="en-GB"/>
        </w:rPr>
      </w:pPr>
    </w:p>
    <w:p w14:paraId="4F06B7DE" w14:textId="77777777" w:rsidR="004F0E2A" w:rsidRPr="004947D9" w:rsidRDefault="00E10D53" w:rsidP="00B2198E">
      <w:pPr>
        <w:autoSpaceDE/>
        <w:autoSpaceDN/>
        <w:adjustRightInd/>
        <w:spacing w:after="0" w:line="230" w:lineRule="auto"/>
        <w:ind w:right="53"/>
        <w:jc w:val="both"/>
        <w:rPr>
          <w:rFonts w:ascii="Times New Roman" w:eastAsia="Times New Roman" w:hAnsi="Times New Roman" w:cs="Times New Roman"/>
        </w:rPr>
      </w:pPr>
      <w:r w:rsidRPr="00245C76">
        <w:rPr>
          <w:rFonts w:ascii="Times New Roman" w:eastAsia="Times New Roman" w:hAnsi="Times New Roman" w:cs="Times New Roman"/>
          <w:lang w:val="en-GB"/>
        </w:rPr>
        <w:t xml:space="preserve">Net cash </w:t>
      </w:r>
      <w:r>
        <w:rPr>
          <w:rFonts w:ascii="Times New Roman" w:eastAsia="Times New Roman" w:hAnsi="Times New Roman" w:cs="Times New Roman"/>
          <w:lang w:val="en-GB"/>
        </w:rPr>
        <w:t>provided by</w:t>
      </w:r>
      <w:r w:rsidRPr="00245C76">
        <w:rPr>
          <w:rFonts w:ascii="Times New Roman" w:eastAsia="Times New Roman" w:hAnsi="Times New Roman" w:cs="Times New Roman"/>
          <w:lang w:val="en-GB"/>
        </w:rPr>
        <w:t xml:space="preserve"> op</w:t>
      </w:r>
      <w:r>
        <w:rPr>
          <w:rFonts w:ascii="Times New Roman" w:eastAsia="Times New Roman" w:hAnsi="Times New Roman" w:cs="Times New Roman"/>
          <w:lang w:val="en-GB"/>
        </w:rPr>
        <w:t>erating activities for the fourth</w:t>
      </w:r>
      <w:r w:rsidRPr="00245C76">
        <w:rPr>
          <w:rFonts w:ascii="Times New Roman" w:eastAsia="Times New Roman" w:hAnsi="Times New Roman" w:cs="Times New Roman"/>
          <w:lang w:val="en-GB"/>
        </w:rPr>
        <w:t xml:space="preserve"> quarter of </w:t>
      </w:r>
      <w:r>
        <w:rPr>
          <w:rFonts w:ascii="Times New Roman" w:eastAsia="Times New Roman" w:hAnsi="Times New Roman" w:cs="Times New Roman"/>
          <w:lang w:val="en-GB"/>
        </w:rPr>
        <w:t>2018</w:t>
      </w:r>
      <w:r w:rsidRPr="00245C76">
        <w:rPr>
          <w:rFonts w:ascii="Times New Roman" w:eastAsia="Times New Roman" w:hAnsi="Times New Roman" w:cs="Times New Roman"/>
          <w:lang w:val="en-GB"/>
        </w:rPr>
        <w:t xml:space="preserve"> was $</w:t>
      </w:r>
      <w:r>
        <w:rPr>
          <w:rFonts w:ascii="Times New Roman" w:eastAsia="Times New Roman" w:hAnsi="Times New Roman" w:cs="Times New Roman"/>
          <w:lang w:val="en-GB"/>
        </w:rPr>
        <w:t xml:space="preserve">7.1 </w:t>
      </w:r>
      <w:r w:rsidRPr="00245C76">
        <w:rPr>
          <w:rFonts w:ascii="Times New Roman" w:eastAsia="Times New Roman" w:hAnsi="Times New Roman" w:cs="Times New Roman"/>
          <w:lang w:val="en-GB"/>
        </w:rPr>
        <w:t>million</w:t>
      </w:r>
      <w:r>
        <w:rPr>
          <w:rFonts w:ascii="Times New Roman" w:eastAsia="Times New Roman" w:hAnsi="Times New Roman" w:cs="Times New Roman"/>
          <w:lang w:val="en-GB"/>
        </w:rPr>
        <w:t xml:space="preserve">, compared to net cash used in operating activities of </w:t>
      </w:r>
      <w:r w:rsidRPr="00777166">
        <w:rPr>
          <w:rFonts w:ascii="Times New Roman" w:eastAsia="Times New Roman" w:hAnsi="Times New Roman" w:cs="Times New Roman"/>
          <w:lang w:val="en-GB"/>
        </w:rPr>
        <w:t xml:space="preserve">$35.6 million for </w:t>
      </w:r>
      <w:r>
        <w:rPr>
          <w:rFonts w:ascii="Times New Roman" w:eastAsia="Times New Roman" w:hAnsi="Times New Roman" w:cs="Times New Roman"/>
          <w:lang w:val="en-GB"/>
        </w:rPr>
        <w:t>the fourth quarter of 2017</w:t>
      </w:r>
      <w:r w:rsidRPr="00245C76">
        <w:rPr>
          <w:rFonts w:ascii="Times New Roman" w:eastAsia="Times New Roman" w:hAnsi="Times New Roman" w:cs="Times New Roman"/>
          <w:lang w:val="en-GB"/>
        </w:rPr>
        <w:t xml:space="preserve">. Net cash used in operating activities for the </w:t>
      </w:r>
      <w:r>
        <w:rPr>
          <w:rFonts w:ascii="Times New Roman" w:eastAsia="Times New Roman" w:hAnsi="Times New Roman" w:cs="Times New Roman"/>
          <w:lang w:val="en-GB"/>
        </w:rPr>
        <w:t>full year</w:t>
      </w:r>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2018</w:t>
      </w:r>
      <w:r w:rsidRPr="00245C76">
        <w:rPr>
          <w:rFonts w:ascii="Times New Roman" w:eastAsia="Times New Roman" w:hAnsi="Times New Roman" w:cs="Times New Roman"/>
          <w:lang w:val="en-GB"/>
        </w:rPr>
        <w:t xml:space="preserve"> was $</w:t>
      </w:r>
      <w:r>
        <w:rPr>
          <w:rFonts w:ascii="Times New Roman" w:eastAsia="Times New Roman" w:hAnsi="Times New Roman" w:cs="Times New Roman"/>
          <w:lang w:val="en-GB"/>
        </w:rPr>
        <w:t>24.1</w:t>
      </w:r>
      <w:r w:rsidRPr="00245C76">
        <w:rPr>
          <w:rFonts w:ascii="Times New Roman" w:eastAsia="Times New Roman" w:hAnsi="Times New Roman" w:cs="Times New Roman"/>
          <w:lang w:val="en-GB"/>
        </w:rPr>
        <w:t xml:space="preserve"> million</w:t>
      </w:r>
      <w:r>
        <w:rPr>
          <w:rFonts w:ascii="Times New Roman" w:eastAsia="Times New Roman" w:hAnsi="Times New Roman" w:cs="Times New Roman"/>
          <w:lang w:val="en-GB"/>
        </w:rPr>
        <w:t xml:space="preserve">, compared to </w:t>
      </w:r>
      <w:r w:rsidRPr="00777166">
        <w:rPr>
          <w:rFonts w:ascii="Times New Roman" w:eastAsia="Times New Roman" w:hAnsi="Times New Roman" w:cs="Times New Roman"/>
          <w:lang w:val="en-GB"/>
        </w:rPr>
        <w:t>$172.5 million</w:t>
      </w:r>
      <w:r>
        <w:rPr>
          <w:rFonts w:ascii="Times New Roman" w:eastAsia="Times New Roman" w:hAnsi="Times New Roman" w:cs="Times New Roman"/>
          <w:lang w:val="en-GB"/>
        </w:rPr>
        <w:t xml:space="preserve"> for the full year 2017</w:t>
      </w:r>
      <w:r w:rsidRPr="00245C76">
        <w:rPr>
          <w:rFonts w:ascii="Times New Roman" w:eastAsia="Times New Roman" w:hAnsi="Times New Roman" w:cs="Times New Roman"/>
          <w:lang w:val="en-GB"/>
        </w:rPr>
        <w:t xml:space="preserve">. </w:t>
      </w:r>
      <w:r w:rsidRPr="00FF7EA0">
        <w:rPr>
          <w:rFonts w:ascii="Times New Roman" w:eastAsia="Times New Roman" w:hAnsi="Times New Roman" w:cs="Times New Roman"/>
          <w:lang w:val="en-GB"/>
        </w:rPr>
        <w:t>At</w:t>
      </w:r>
      <w:r>
        <w:rPr>
          <w:rFonts w:ascii="Times New Roman" w:eastAsia="Times New Roman" w:hAnsi="Times New Roman" w:cs="Times New Roman"/>
          <w:lang w:val="en-GB"/>
        </w:rPr>
        <w:t xml:space="preserve"> December 31</w:t>
      </w:r>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2018</w:t>
      </w:r>
      <w:r w:rsidRPr="00245C76">
        <w:rPr>
          <w:rFonts w:ascii="Times New Roman" w:eastAsia="Times New Roman" w:hAnsi="Times New Roman" w:cs="Times New Roman"/>
          <w:lang w:val="en-GB"/>
        </w:rPr>
        <w:t>, Puma had cash and cash equivalents of $</w:t>
      </w:r>
      <w:r>
        <w:rPr>
          <w:rFonts w:ascii="Times New Roman" w:eastAsia="Times New Roman" w:hAnsi="Times New Roman" w:cs="Times New Roman"/>
          <w:lang w:val="en-GB"/>
        </w:rPr>
        <w:t>108.4</w:t>
      </w:r>
      <w:r w:rsidRPr="00245C76">
        <w:rPr>
          <w:rFonts w:ascii="Times New Roman" w:eastAsia="Times New Roman" w:hAnsi="Times New Roman" w:cs="Times New Roman"/>
          <w:lang w:val="en-GB"/>
        </w:rPr>
        <w:t xml:space="preserve"> million</w:t>
      </w:r>
      <w:r>
        <w:rPr>
          <w:rFonts w:ascii="Times New Roman" w:eastAsia="Times New Roman" w:hAnsi="Times New Roman" w:cs="Times New Roman"/>
          <w:lang w:val="en-GB"/>
        </w:rPr>
        <w:t xml:space="preserve"> and marketable securities of $57.0 million,</w:t>
      </w:r>
      <w:r w:rsidRPr="00245C76">
        <w:rPr>
          <w:rFonts w:ascii="Times New Roman" w:eastAsia="Times New Roman" w:hAnsi="Times New Roman" w:cs="Times New Roman"/>
          <w:lang w:val="en-GB"/>
        </w:rPr>
        <w:t xml:space="preserve"> compared to cash and cash equivalents of $</w:t>
      </w:r>
      <w:r>
        <w:rPr>
          <w:rFonts w:ascii="Times New Roman" w:eastAsia="Times New Roman" w:hAnsi="Times New Roman" w:cs="Times New Roman"/>
          <w:lang w:val="en-GB"/>
        </w:rPr>
        <w:t>81.7</w:t>
      </w:r>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million </w:t>
      </w:r>
      <w:r w:rsidRPr="00245C76">
        <w:rPr>
          <w:rFonts w:ascii="Times New Roman" w:eastAsia="Times New Roman" w:hAnsi="Times New Roman" w:cs="Times New Roman"/>
          <w:lang w:val="en-GB"/>
        </w:rPr>
        <w:t xml:space="preserve">at December 31, </w:t>
      </w:r>
      <w:r>
        <w:rPr>
          <w:rFonts w:ascii="Times New Roman" w:eastAsia="Times New Roman" w:hAnsi="Times New Roman" w:cs="Times New Roman"/>
          <w:lang w:val="en-GB"/>
        </w:rPr>
        <w:t>2017</w:t>
      </w:r>
      <w:r w:rsidRPr="00245C76">
        <w:rPr>
          <w:rFonts w:ascii="Times New Roman" w:eastAsia="Times New Roman" w:hAnsi="Times New Roman" w:cs="Times New Roman"/>
          <w:lang w:val="en-GB"/>
        </w:rPr>
        <w:t>.</w:t>
      </w:r>
      <w:r w:rsidRPr="004947D9">
        <w:rPr>
          <w:rFonts w:ascii="Times New Roman" w:eastAsia="Times New Roman" w:hAnsi="Times New Roman" w:cs="Times New Roman"/>
        </w:rPr>
        <w:t> </w:t>
      </w:r>
    </w:p>
    <w:p w14:paraId="4FC8900C" w14:textId="77777777" w:rsidR="00ED7017" w:rsidRDefault="00373E5C" w:rsidP="00B301E0">
      <w:pPr>
        <w:autoSpaceDE/>
        <w:autoSpaceDN/>
        <w:adjustRightInd/>
        <w:spacing w:after="0" w:line="230" w:lineRule="auto"/>
        <w:ind w:right="53"/>
        <w:jc w:val="both"/>
        <w:rPr>
          <w:rFonts w:ascii="Times New Roman" w:eastAsia="Times New Roman" w:hAnsi="Times New Roman" w:cs="Times New Roman"/>
          <w:lang w:val="en-GB"/>
        </w:rPr>
      </w:pPr>
      <w:bookmarkStart w:id="1" w:name="_Hlk506389122"/>
    </w:p>
    <w:p w14:paraId="5C4AF260" w14:textId="56E860CE" w:rsidR="00E36DA4" w:rsidRDefault="00E10D53" w:rsidP="00D47B0E">
      <w:pPr>
        <w:autoSpaceDE/>
        <w:autoSpaceDN/>
        <w:adjustRightInd/>
        <w:spacing w:after="0" w:line="230" w:lineRule="auto"/>
        <w:ind w:right="53"/>
        <w:jc w:val="both"/>
        <w:rPr>
          <w:rFonts w:ascii="Times New Roman" w:eastAsia="Times New Roman" w:hAnsi="Times New Roman" w:cs="Times New Roman"/>
          <w:lang w:val="en-GB"/>
        </w:rPr>
      </w:pPr>
      <w:r w:rsidRPr="00B301E0">
        <w:rPr>
          <w:rFonts w:ascii="Times New Roman" w:eastAsia="Times New Roman" w:hAnsi="Times New Roman" w:cs="Times New Roman"/>
          <w:lang w:val="en-GB"/>
        </w:rPr>
        <w:t>“</w:t>
      </w:r>
      <w:r>
        <w:rPr>
          <w:rFonts w:ascii="Times New Roman" w:eastAsia="Times New Roman" w:hAnsi="Times New Roman" w:cs="Times New Roman"/>
          <w:lang w:val="en-GB"/>
        </w:rPr>
        <w:t>2018 was a strong year for Puma as we continued to grow NERLYNX sales, expanded our global presence and made progress in expanding the potential indications for the drug,</w:t>
      </w:r>
      <w:r w:rsidR="00BE275A">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B301E0">
        <w:rPr>
          <w:rFonts w:ascii="Times New Roman" w:eastAsia="Times New Roman" w:hAnsi="Times New Roman" w:cs="Times New Roman"/>
          <w:lang w:val="en-GB"/>
        </w:rPr>
        <w:t>said Alan H. Auerbach, Chairman, Chief Executive Officer and President of Puma.</w:t>
      </w:r>
      <w:r>
        <w:rPr>
          <w:rFonts w:ascii="Times New Roman" w:eastAsia="Times New Roman" w:hAnsi="Times New Roman" w:cs="Times New Roman"/>
          <w:lang w:val="en-GB"/>
        </w:rPr>
        <w:t xml:space="preserve"> “This was highlighted by the </w:t>
      </w:r>
      <w:r w:rsidRPr="00D47B0E">
        <w:rPr>
          <w:rFonts w:ascii="Times New Roman" w:eastAsia="Times New Roman" w:hAnsi="Times New Roman" w:cs="Times New Roman"/>
          <w:lang w:val="en-GB"/>
        </w:rPr>
        <w:t>European Commission</w:t>
      </w:r>
      <w:r>
        <w:rPr>
          <w:rFonts w:ascii="Times New Roman" w:eastAsia="Times New Roman" w:hAnsi="Times New Roman" w:cs="Times New Roman"/>
          <w:lang w:val="en-GB"/>
        </w:rPr>
        <w:t xml:space="preserve"> granting marketing authorization in Europe, additional licensing agreements designed to provide access to NERLYNX in China, Latin America, </w:t>
      </w:r>
      <w:r w:rsidRPr="00D47B0E">
        <w:rPr>
          <w:rFonts w:ascii="Times New Roman" w:eastAsia="Times New Roman" w:hAnsi="Times New Roman" w:cs="Times New Roman"/>
          <w:lang w:val="en-GB"/>
        </w:rPr>
        <w:t>Israel</w:t>
      </w:r>
      <w:r>
        <w:rPr>
          <w:rFonts w:ascii="Times New Roman" w:eastAsia="Times New Roman" w:hAnsi="Times New Roman" w:cs="Times New Roman"/>
          <w:lang w:val="en-GB"/>
        </w:rPr>
        <w:t xml:space="preserve"> and Canada, and announcing data from the Phase III NALA trial, Phase II CONTROL trial, and</w:t>
      </w:r>
      <w:r w:rsidRPr="00D47B0E">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Phase II </w:t>
      </w:r>
      <w:r w:rsidRPr="00D47B0E">
        <w:rPr>
          <w:rFonts w:ascii="Times New Roman" w:eastAsia="Times New Roman" w:hAnsi="Times New Roman" w:cs="Times New Roman"/>
          <w:lang w:val="en-GB"/>
        </w:rPr>
        <w:t>SUMMIT</w:t>
      </w:r>
      <w:r w:rsidRPr="00B301E0">
        <w:rPr>
          <w:rFonts w:ascii="Times New Roman" w:eastAsia="Times New Roman" w:hAnsi="Times New Roman" w:cs="Times New Roman"/>
          <w:lang w:val="en-GB"/>
        </w:rPr>
        <w:t xml:space="preserve"> </w:t>
      </w:r>
      <w:r>
        <w:rPr>
          <w:rFonts w:ascii="Times New Roman" w:eastAsia="Times New Roman" w:hAnsi="Times New Roman" w:cs="Times New Roman"/>
          <w:lang w:val="en-GB"/>
        </w:rPr>
        <w:t>trials.”</w:t>
      </w:r>
    </w:p>
    <w:p w14:paraId="42413ACC" w14:textId="77777777" w:rsidR="00B301E0" w:rsidRPr="00B301E0" w:rsidRDefault="00E10D53" w:rsidP="00B301E0">
      <w:pPr>
        <w:autoSpaceDE/>
        <w:autoSpaceDN/>
        <w:adjustRightInd/>
        <w:spacing w:after="0" w:line="230" w:lineRule="auto"/>
        <w:ind w:right="53"/>
        <w:jc w:val="both"/>
        <w:rPr>
          <w:rFonts w:ascii="Times New Roman" w:eastAsia="Times New Roman" w:hAnsi="Times New Roman" w:cs="Times New Roman"/>
          <w:lang w:val="en-GB"/>
        </w:rPr>
      </w:pPr>
      <w:r w:rsidRPr="00B301E0">
        <w:rPr>
          <w:rFonts w:ascii="Times New Roman" w:eastAsia="Times New Roman" w:hAnsi="Times New Roman" w:cs="Times New Roman"/>
          <w:lang w:val="en-GB"/>
        </w:rPr>
        <w:t xml:space="preserve">  </w:t>
      </w:r>
    </w:p>
    <w:p w14:paraId="5B79697E" w14:textId="77777777" w:rsidR="008A2664" w:rsidRDefault="00E10D53" w:rsidP="008A2664">
      <w:pPr>
        <w:autoSpaceDE/>
        <w:autoSpaceDN/>
        <w:adjustRightInd/>
        <w:spacing w:after="0" w:line="230" w:lineRule="auto"/>
        <w:ind w:right="53"/>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Mr. Auerbach added, </w:t>
      </w:r>
      <w:r w:rsidRPr="008A2664">
        <w:rPr>
          <w:rFonts w:ascii="Times New Roman" w:eastAsia="Times New Roman" w:hAnsi="Times New Roman" w:cs="Times New Roman"/>
          <w:lang w:val="en-GB"/>
        </w:rPr>
        <w:t>“During 2019, we anticipate the following key milestones for Puma:</w:t>
      </w:r>
      <w:r>
        <w:rPr>
          <w:rFonts w:ascii="Times New Roman" w:eastAsia="Times New Roman" w:hAnsi="Times New Roman" w:cs="Times New Roman"/>
          <w:lang w:val="en-GB"/>
        </w:rPr>
        <w:t xml:space="preserve"> (i) m</w:t>
      </w:r>
      <w:r w:rsidRPr="008A2664">
        <w:rPr>
          <w:rFonts w:ascii="Times New Roman" w:eastAsia="Times New Roman" w:hAnsi="Times New Roman" w:cs="Times New Roman"/>
          <w:lang w:val="en-GB"/>
        </w:rPr>
        <w:t>eet</w:t>
      </w:r>
      <w:r>
        <w:rPr>
          <w:rFonts w:ascii="Times New Roman" w:eastAsia="Times New Roman" w:hAnsi="Times New Roman" w:cs="Times New Roman"/>
          <w:lang w:val="en-GB"/>
        </w:rPr>
        <w:t>ing</w:t>
      </w:r>
      <w:r w:rsidRPr="008A2664">
        <w:rPr>
          <w:rFonts w:ascii="Times New Roman" w:eastAsia="Times New Roman" w:hAnsi="Times New Roman" w:cs="Times New Roman"/>
          <w:lang w:val="en-GB"/>
        </w:rPr>
        <w:t xml:space="preserve"> with </w:t>
      </w:r>
      <w:r>
        <w:rPr>
          <w:rFonts w:ascii="Times New Roman" w:eastAsia="Times New Roman" w:hAnsi="Times New Roman" w:cs="Times New Roman"/>
          <w:lang w:val="en-GB"/>
        </w:rPr>
        <w:t xml:space="preserve">the FDA and the </w:t>
      </w:r>
      <w:r w:rsidRPr="00E36DA4">
        <w:rPr>
          <w:rFonts w:ascii="Times New Roman" w:eastAsia="Times New Roman" w:hAnsi="Times New Roman" w:cs="Times New Roman"/>
          <w:lang w:val="en-GB"/>
        </w:rPr>
        <w:t xml:space="preserve">European Medicines Agency </w:t>
      </w:r>
      <w:r w:rsidRPr="008A2664">
        <w:rPr>
          <w:rFonts w:ascii="Times New Roman" w:eastAsia="Times New Roman" w:hAnsi="Times New Roman" w:cs="Times New Roman"/>
          <w:lang w:val="en-GB"/>
        </w:rPr>
        <w:t xml:space="preserve">to discuss data from </w:t>
      </w:r>
      <w:r>
        <w:rPr>
          <w:rFonts w:ascii="Times New Roman" w:eastAsia="Times New Roman" w:hAnsi="Times New Roman" w:cs="Times New Roman"/>
          <w:lang w:val="en-GB"/>
        </w:rPr>
        <w:t xml:space="preserve">the </w:t>
      </w:r>
      <w:r w:rsidRPr="008A2664">
        <w:rPr>
          <w:rFonts w:ascii="Times New Roman" w:eastAsia="Times New Roman" w:hAnsi="Times New Roman" w:cs="Times New Roman"/>
          <w:lang w:val="en-GB"/>
        </w:rPr>
        <w:t xml:space="preserve">Phase III trial in </w:t>
      </w:r>
      <w:r>
        <w:rPr>
          <w:rFonts w:ascii="Times New Roman" w:eastAsia="Times New Roman" w:hAnsi="Times New Roman" w:cs="Times New Roman"/>
          <w:lang w:val="en-GB"/>
        </w:rPr>
        <w:t xml:space="preserve">third-line </w:t>
      </w:r>
      <w:r w:rsidRPr="001E1D92">
        <w:rPr>
          <w:rFonts w:ascii="Times New Roman" w:eastAsia="Times New Roman" w:hAnsi="Times New Roman" w:cs="Times New Roman"/>
          <w:lang w:val="en-GB"/>
        </w:rPr>
        <w:t>metastatic breast cancer</w:t>
      </w:r>
      <w:r>
        <w:rPr>
          <w:rFonts w:ascii="Times New Roman" w:eastAsia="Times New Roman" w:hAnsi="Times New Roman" w:cs="Times New Roman"/>
          <w:lang w:val="en-GB"/>
        </w:rPr>
        <w:t xml:space="preserve"> patients in the first half of 2019; (ii) m</w:t>
      </w:r>
      <w:r w:rsidRPr="008A2664">
        <w:rPr>
          <w:rFonts w:ascii="Times New Roman" w:eastAsia="Times New Roman" w:hAnsi="Times New Roman" w:cs="Times New Roman"/>
          <w:lang w:val="en-GB"/>
        </w:rPr>
        <w:t>eet</w:t>
      </w:r>
      <w:r>
        <w:rPr>
          <w:rFonts w:ascii="Times New Roman" w:eastAsia="Times New Roman" w:hAnsi="Times New Roman" w:cs="Times New Roman"/>
          <w:lang w:val="en-GB"/>
        </w:rPr>
        <w:t>ing</w:t>
      </w:r>
      <w:r w:rsidRPr="008A2664">
        <w:rPr>
          <w:rFonts w:ascii="Times New Roman" w:eastAsia="Times New Roman" w:hAnsi="Times New Roman" w:cs="Times New Roman"/>
          <w:lang w:val="en-GB"/>
        </w:rPr>
        <w:t xml:space="preserve"> with </w:t>
      </w:r>
      <w:r>
        <w:rPr>
          <w:rFonts w:ascii="Times New Roman" w:eastAsia="Times New Roman" w:hAnsi="Times New Roman" w:cs="Times New Roman"/>
          <w:lang w:val="en-GB"/>
        </w:rPr>
        <w:t xml:space="preserve">the </w:t>
      </w:r>
      <w:r w:rsidRPr="008A2664">
        <w:rPr>
          <w:rFonts w:ascii="Times New Roman" w:eastAsia="Times New Roman" w:hAnsi="Times New Roman" w:cs="Times New Roman"/>
          <w:lang w:val="en-GB"/>
        </w:rPr>
        <w:t xml:space="preserve">FDA to discuss </w:t>
      </w:r>
      <w:r>
        <w:rPr>
          <w:rFonts w:ascii="Times New Roman" w:eastAsia="Times New Roman" w:hAnsi="Times New Roman" w:cs="Times New Roman"/>
          <w:lang w:val="en-GB"/>
        </w:rPr>
        <w:t xml:space="preserve">the </w:t>
      </w:r>
      <w:r w:rsidRPr="008A2664">
        <w:rPr>
          <w:rFonts w:ascii="Times New Roman" w:eastAsia="Times New Roman" w:hAnsi="Times New Roman" w:cs="Times New Roman"/>
          <w:lang w:val="en-GB"/>
        </w:rPr>
        <w:t>clinical development and regulatory st</w:t>
      </w:r>
      <w:r>
        <w:rPr>
          <w:rFonts w:ascii="Times New Roman" w:eastAsia="Times New Roman" w:hAnsi="Times New Roman" w:cs="Times New Roman"/>
          <w:lang w:val="en-GB"/>
        </w:rPr>
        <w:t xml:space="preserve">rategy for the SUMMIT trial in the first half of 2019; (iii) </w:t>
      </w:r>
      <w:r w:rsidRPr="001E1D92">
        <w:rPr>
          <w:rFonts w:ascii="Times New Roman" w:eastAsia="Times New Roman" w:hAnsi="Times New Roman" w:cs="Times New Roman"/>
          <w:lang w:val="en-GB"/>
        </w:rPr>
        <w:t xml:space="preserve">announcing </w:t>
      </w:r>
      <w:r>
        <w:rPr>
          <w:rFonts w:ascii="Times New Roman" w:eastAsia="Times New Roman" w:hAnsi="Times New Roman" w:cs="Times New Roman"/>
          <w:lang w:val="en-GB"/>
        </w:rPr>
        <w:t>r</w:t>
      </w:r>
      <w:r w:rsidRPr="008A2664">
        <w:rPr>
          <w:rFonts w:ascii="Times New Roman" w:eastAsia="Times New Roman" w:hAnsi="Times New Roman" w:cs="Times New Roman"/>
          <w:lang w:val="en-GB"/>
        </w:rPr>
        <w:t>egulatory decision</w:t>
      </w:r>
      <w:r>
        <w:rPr>
          <w:rFonts w:ascii="Times New Roman" w:eastAsia="Times New Roman" w:hAnsi="Times New Roman" w:cs="Times New Roman"/>
          <w:lang w:val="en-GB"/>
        </w:rPr>
        <w:t>s</w:t>
      </w:r>
      <w:r w:rsidRPr="008A2664">
        <w:rPr>
          <w:rFonts w:ascii="Times New Roman" w:eastAsia="Times New Roman" w:hAnsi="Times New Roman" w:cs="Times New Roman"/>
          <w:lang w:val="en-GB"/>
        </w:rPr>
        <w:t xml:space="preserve"> on neratinib for </w:t>
      </w:r>
      <w:r>
        <w:rPr>
          <w:rFonts w:ascii="Times New Roman" w:eastAsia="Times New Roman" w:hAnsi="Times New Roman" w:cs="Times New Roman"/>
          <w:lang w:val="en-GB"/>
        </w:rPr>
        <w:t xml:space="preserve">the </w:t>
      </w:r>
      <w:r w:rsidRPr="008A2664">
        <w:rPr>
          <w:rFonts w:ascii="Times New Roman" w:eastAsia="Times New Roman" w:hAnsi="Times New Roman" w:cs="Times New Roman"/>
          <w:lang w:val="en-GB"/>
        </w:rPr>
        <w:t>extended adjuvant HER2</w:t>
      </w:r>
      <w:r>
        <w:rPr>
          <w:rFonts w:ascii="Times New Roman" w:eastAsia="Times New Roman" w:hAnsi="Times New Roman" w:cs="Times New Roman"/>
          <w:lang w:val="en-GB"/>
        </w:rPr>
        <w:t>-</w:t>
      </w:r>
      <w:r w:rsidRPr="008A2664">
        <w:rPr>
          <w:rFonts w:ascii="Times New Roman" w:eastAsia="Times New Roman" w:hAnsi="Times New Roman" w:cs="Times New Roman"/>
          <w:lang w:val="en-GB"/>
        </w:rPr>
        <w:t>positive early stage breast cance</w:t>
      </w:r>
      <w:r>
        <w:rPr>
          <w:rFonts w:ascii="Times New Roman" w:eastAsia="Times New Roman" w:hAnsi="Times New Roman" w:cs="Times New Roman"/>
          <w:lang w:val="en-GB"/>
        </w:rPr>
        <w:t>r indication in countries outside of the United States and Europe</w:t>
      </w:r>
      <w:r w:rsidRPr="00E36DA4">
        <w:rPr>
          <w:rFonts w:ascii="Times New Roman" w:eastAsia="Times New Roman" w:hAnsi="Times New Roman" w:cs="Times New Roman"/>
          <w:lang w:val="en-GB"/>
        </w:rPr>
        <w:t xml:space="preserve"> </w:t>
      </w:r>
      <w:r>
        <w:rPr>
          <w:rFonts w:ascii="Times New Roman" w:eastAsia="Times New Roman" w:hAnsi="Times New Roman" w:cs="Times New Roman"/>
          <w:lang w:val="en-GB"/>
        </w:rPr>
        <w:t>in the first half of 2019; (iv) presenting</w:t>
      </w:r>
      <w:r w:rsidRPr="008A2664">
        <w:rPr>
          <w:rFonts w:ascii="Times New Roman" w:eastAsia="Times New Roman" w:hAnsi="Times New Roman" w:cs="Times New Roman"/>
          <w:lang w:val="en-GB"/>
        </w:rPr>
        <w:t xml:space="preserve"> data from </w:t>
      </w:r>
      <w:r>
        <w:rPr>
          <w:rFonts w:ascii="Times New Roman" w:eastAsia="Times New Roman" w:hAnsi="Times New Roman" w:cs="Times New Roman"/>
          <w:lang w:val="en-GB"/>
        </w:rPr>
        <w:t xml:space="preserve">the </w:t>
      </w:r>
      <w:r w:rsidRPr="008A2664">
        <w:rPr>
          <w:rFonts w:ascii="Times New Roman" w:eastAsia="Times New Roman" w:hAnsi="Times New Roman" w:cs="Times New Roman"/>
          <w:lang w:val="en-GB"/>
        </w:rPr>
        <w:t xml:space="preserve">Phase III trial in </w:t>
      </w:r>
      <w:r>
        <w:rPr>
          <w:rFonts w:ascii="Times New Roman" w:eastAsia="Times New Roman" w:hAnsi="Times New Roman" w:cs="Times New Roman"/>
          <w:lang w:val="en-GB"/>
        </w:rPr>
        <w:t xml:space="preserve">third-line HER2-positive </w:t>
      </w:r>
      <w:r w:rsidRPr="001E1D92">
        <w:rPr>
          <w:rFonts w:ascii="Times New Roman" w:eastAsia="Times New Roman" w:hAnsi="Times New Roman" w:cs="Times New Roman"/>
          <w:lang w:val="en-GB"/>
        </w:rPr>
        <w:t>metastatic breast cancer</w:t>
      </w:r>
      <w:r>
        <w:rPr>
          <w:rFonts w:ascii="Times New Roman" w:eastAsia="Times New Roman" w:hAnsi="Times New Roman" w:cs="Times New Roman"/>
          <w:lang w:val="en-GB"/>
        </w:rPr>
        <w:t xml:space="preserve"> </w:t>
      </w:r>
      <w:r w:rsidR="00173986">
        <w:rPr>
          <w:rFonts w:ascii="Times New Roman" w:eastAsia="Times New Roman" w:hAnsi="Times New Roman" w:cs="Times New Roman"/>
          <w:lang w:val="en-GB"/>
        </w:rPr>
        <w:t xml:space="preserve">treatment </w:t>
      </w:r>
      <w:r>
        <w:rPr>
          <w:rFonts w:ascii="Times New Roman" w:eastAsia="Times New Roman" w:hAnsi="Times New Roman" w:cs="Times New Roman"/>
          <w:lang w:val="en-GB"/>
        </w:rPr>
        <w:t>(NALA) in the first half of 2019; (v) reporting</w:t>
      </w:r>
      <w:r w:rsidRPr="008A2664">
        <w:rPr>
          <w:rFonts w:ascii="Times New Roman" w:eastAsia="Times New Roman" w:hAnsi="Times New Roman" w:cs="Times New Roman"/>
          <w:lang w:val="en-GB"/>
        </w:rPr>
        <w:t xml:space="preserve"> additional data </w:t>
      </w:r>
      <w:r w:rsidRPr="008A2664">
        <w:rPr>
          <w:rFonts w:ascii="Times New Roman" w:eastAsia="Times New Roman" w:hAnsi="Times New Roman" w:cs="Times New Roman"/>
          <w:lang w:val="en-GB"/>
        </w:rPr>
        <w:lastRenderedPageBreak/>
        <w:t>from</w:t>
      </w:r>
      <w:r>
        <w:rPr>
          <w:rFonts w:ascii="Times New Roman" w:eastAsia="Times New Roman" w:hAnsi="Times New Roman" w:cs="Times New Roman"/>
          <w:lang w:val="en-GB"/>
        </w:rPr>
        <w:t xml:space="preserve"> the Phase II CONTROL trial in the first half of 2019; and (vi) reporting</w:t>
      </w:r>
      <w:r w:rsidRPr="008A2664">
        <w:rPr>
          <w:rFonts w:ascii="Times New Roman" w:eastAsia="Times New Roman" w:hAnsi="Times New Roman" w:cs="Times New Roman"/>
          <w:lang w:val="en-GB"/>
        </w:rPr>
        <w:t xml:space="preserve"> Phase II data from </w:t>
      </w:r>
      <w:r>
        <w:rPr>
          <w:rFonts w:ascii="Times New Roman" w:eastAsia="Times New Roman" w:hAnsi="Times New Roman" w:cs="Times New Roman"/>
          <w:lang w:val="en-GB"/>
        </w:rPr>
        <w:t xml:space="preserve">the </w:t>
      </w:r>
      <w:r w:rsidRPr="008A2664">
        <w:rPr>
          <w:rFonts w:ascii="Times New Roman" w:eastAsia="Times New Roman" w:hAnsi="Times New Roman" w:cs="Times New Roman"/>
          <w:lang w:val="en-GB"/>
        </w:rPr>
        <w:t xml:space="preserve">SUMMIT basket trial of neratinib in patients with HER2 mutations </w:t>
      </w:r>
      <w:r>
        <w:rPr>
          <w:rFonts w:ascii="Times New Roman" w:eastAsia="Times New Roman" w:hAnsi="Times New Roman" w:cs="Times New Roman"/>
          <w:lang w:val="en-GB"/>
        </w:rPr>
        <w:t>in the first half of 2019.”</w:t>
      </w:r>
    </w:p>
    <w:p w14:paraId="5BD0E841" w14:textId="77777777" w:rsidR="00805D5D" w:rsidRDefault="00373E5C" w:rsidP="00101F19">
      <w:pPr>
        <w:autoSpaceDE/>
        <w:autoSpaceDN/>
        <w:adjustRightInd/>
        <w:spacing w:after="0" w:line="240" w:lineRule="auto"/>
        <w:ind w:right="53"/>
        <w:jc w:val="both"/>
        <w:rPr>
          <w:rFonts w:ascii="Times New Roman" w:eastAsia="Times New Roman" w:hAnsi="Times New Roman" w:cs="Times New Roman"/>
          <w:lang w:val="en-GB"/>
        </w:rPr>
      </w:pPr>
    </w:p>
    <w:p w14:paraId="786AEB83" w14:textId="77777777" w:rsidR="00805D5D" w:rsidRPr="00101F19" w:rsidRDefault="00E10D53" w:rsidP="00101F19">
      <w:pPr>
        <w:spacing w:after="0" w:line="240" w:lineRule="auto"/>
        <w:jc w:val="both"/>
        <w:rPr>
          <w:rFonts w:ascii="Times New Roman" w:hAnsi="Times New Roman" w:cs="Times New Roman"/>
          <w:b/>
        </w:rPr>
      </w:pPr>
      <w:r w:rsidRPr="00101F19">
        <w:rPr>
          <w:rFonts w:ascii="Times New Roman" w:hAnsi="Times New Roman" w:cs="Times New Roman"/>
          <w:b/>
        </w:rPr>
        <w:t xml:space="preserve">Revenue  </w:t>
      </w:r>
    </w:p>
    <w:p w14:paraId="38DA01FE" w14:textId="77777777" w:rsidR="003771E4" w:rsidRDefault="00373E5C" w:rsidP="00101F19">
      <w:pPr>
        <w:spacing w:after="0" w:line="240" w:lineRule="auto"/>
        <w:jc w:val="both"/>
        <w:rPr>
          <w:rFonts w:ascii="Times New Roman" w:hAnsi="Times New Roman" w:cs="Times New Roman"/>
        </w:rPr>
      </w:pPr>
    </w:p>
    <w:p w14:paraId="1E8B3B6D" w14:textId="77777777" w:rsidR="003771E4" w:rsidRPr="00805D5D" w:rsidRDefault="00E10D53" w:rsidP="00101F19">
      <w:pPr>
        <w:spacing w:after="0" w:line="240" w:lineRule="auto"/>
        <w:jc w:val="both"/>
        <w:rPr>
          <w:rFonts w:ascii="Times New Roman" w:hAnsi="Times New Roman" w:cs="Times New Roman"/>
        </w:rPr>
      </w:pPr>
      <w:r w:rsidRPr="003771E4">
        <w:rPr>
          <w:rFonts w:ascii="Times New Roman" w:hAnsi="Times New Roman" w:cs="Times New Roman"/>
        </w:rPr>
        <w:t xml:space="preserve">Total revenue consists of </w:t>
      </w:r>
      <w:r>
        <w:rPr>
          <w:rFonts w:ascii="Times New Roman" w:hAnsi="Times New Roman" w:cs="Times New Roman"/>
        </w:rPr>
        <w:t xml:space="preserve">product revenue, </w:t>
      </w:r>
      <w:r w:rsidRPr="003771E4">
        <w:rPr>
          <w:rFonts w:ascii="Times New Roman" w:hAnsi="Times New Roman" w:cs="Times New Roman"/>
        </w:rPr>
        <w:t xml:space="preserve">net from sales of NERLYNX, Puma’s first commercial product, and license revenue. For the </w:t>
      </w:r>
      <w:r>
        <w:rPr>
          <w:rFonts w:ascii="Times New Roman" w:hAnsi="Times New Roman" w:cs="Times New Roman"/>
        </w:rPr>
        <w:t>fourth quarter</w:t>
      </w:r>
      <w:r w:rsidRPr="00805D5D">
        <w:rPr>
          <w:rFonts w:ascii="Times New Roman" w:hAnsi="Times New Roman" w:cs="Times New Roman"/>
        </w:rPr>
        <w:t xml:space="preserve"> ended December 31, </w:t>
      </w:r>
      <w:r>
        <w:rPr>
          <w:rFonts w:ascii="Times New Roman" w:hAnsi="Times New Roman" w:cs="Times New Roman"/>
        </w:rPr>
        <w:t>2018</w:t>
      </w:r>
      <w:r w:rsidRPr="003771E4">
        <w:rPr>
          <w:rFonts w:ascii="Times New Roman" w:hAnsi="Times New Roman" w:cs="Times New Roman"/>
        </w:rPr>
        <w:t>, total revenue was $</w:t>
      </w:r>
      <w:r w:rsidR="00B26540">
        <w:rPr>
          <w:rFonts w:ascii="Times New Roman" w:hAnsi="Times New Roman" w:cs="Times New Roman"/>
        </w:rPr>
        <w:t>7</w:t>
      </w:r>
      <w:r>
        <w:rPr>
          <w:rFonts w:ascii="Times New Roman" w:hAnsi="Times New Roman" w:cs="Times New Roman"/>
        </w:rPr>
        <w:t xml:space="preserve">1.1 </w:t>
      </w:r>
      <w:r w:rsidRPr="003771E4">
        <w:rPr>
          <w:rFonts w:ascii="Times New Roman" w:hAnsi="Times New Roman" w:cs="Times New Roman"/>
        </w:rPr>
        <w:t xml:space="preserve">million, of which </w:t>
      </w:r>
      <w:r w:rsidR="00B26540">
        <w:rPr>
          <w:rFonts w:ascii="Times New Roman" w:hAnsi="Times New Roman" w:cs="Times New Roman"/>
        </w:rPr>
        <w:t xml:space="preserve">$61.1 million </w:t>
      </w:r>
      <w:r w:rsidRPr="003771E4">
        <w:rPr>
          <w:rFonts w:ascii="Times New Roman" w:hAnsi="Times New Roman" w:cs="Times New Roman"/>
        </w:rPr>
        <w:t xml:space="preserve">was </w:t>
      </w:r>
      <w:r>
        <w:rPr>
          <w:rFonts w:ascii="Times New Roman" w:hAnsi="Times New Roman" w:cs="Times New Roman"/>
        </w:rPr>
        <w:t>net NERLYNX</w:t>
      </w:r>
      <w:r w:rsidRPr="003771E4">
        <w:rPr>
          <w:rFonts w:ascii="Times New Roman" w:hAnsi="Times New Roman" w:cs="Times New Roman"/>
        </w:rPr>
        <w:t xml:space="preserve"> revenue</w:t>
      </w:r>
      <w:r w:rsidR="00B26540">
        <w:rPr>
          <w:rFonts w:ascii="Times New Roman" w:hAnsi="Times New Roman" w:cs="Times New Roman"/>
        </w:rPr>
        <w:t xml:space="preserve"> and $10.0 million was </w:t>
      </w:r>
      <w:r w:rsidR="00EB4AE3">
        <w:rPr>
          <w:rFonts w:ascii="Times New Roman" w:hAnsi="Times New Roman" w:cs="Times New Roman"/>
        </w:rPr>
        <w:t>license revenue</w:t>
      </w:r>
      <w:r>
        <w:rPr>
          <w:rFonts w:ascii="Times New Roman" w:hAnsi="Times New Roman" w:cs="Times New Roman"/>
        </w:rPr>
        <w:t xml:space="preserve">. </w:t>
      </w:r>
      <w:r w:rsidRPr="003771E4">
        <w:rPr>
          <w:rFonts w:ascii="Times New Roman" w:hAnsi="Times New Roman" w:cs="Times New Roman"/>
        </w:rPr>
        <w:t xml:space="preserve">For the </w:t>
      </w:r>
      <w:r>
        <w:rPr>
          <w:rFonts w:ascii="Times New Roman" w:hAnsi="Times New Roman" w:cs="Times New Roman"/>
        </w:rPr>
        <w:t>year</w:t>
      </w:r>
      <w:r w:rsidRPr="00805D5D">
        <w:rPr>
          <w:rFonts w:ascii="Times New Roman" w:hAnsi="Times New Roman" w:cs="Times New Roman"/>
        </w:rPr>
        <w:t xml:space="preserve"> ended December 31, </w:t>
      </w:r>
      <w:r>
        <w:rPr>
          <w:rFonts w:ascii="Times New Roman" w:hAnsi="Times New Roman" w:cs="Times New Roman"/>
        </w:rPr>
        <w:t>2018</w:t>
      </w:r>
      <w:r w:rsidRPr="003771E4">
        <w:rPr>
          <w:rFonts w:ascii="Times New Roman" w:hAnsi="Times New Roman" w:cs="Times New Roman"/>
        </w:rPr>
        <w:t>, total revenue was $</w:t>
      </w:r>
      <w:r w:rsidR="00EB4AE3">
        <w:rPr>
          <w:rFonts w:ascii="Times New Roman" w:hAnsi="Times New Roman" w:cs="Times New Roman"/>
        </w:rPr>
        <w:t>251.0</w:t>
      </w:r>
      <w:r>
        <w:rPr>
          <w:rFonts w:ascii="Times New Roman" w:hAnsi="Times New Roman" w:cs="Times New Roman"/>
        </w:rPr>
        <w:t xml:space="preserve"> </w:t>
      </w:r>
      <w:r w:rsidRPr="003771E4">
        <w:rPr>
          <w:rFonts w:ascii="Times New Roman" w:hAnsi="Times New Roman" w:cs="Times New Roman"/>
        </w:rPr>
        <w:t>million, of which $</w:t>
      </w:r>
      <w:r>
        <w:rPr>
          <w:rFonts w:ascii="Times New Roman" w:hAnsi="Times New Roman" w:cs="Times New Roman"/>
        </w:rPr>
        <w:t>200.5</w:t>
      </w:r>
      <w:r w:rsidRPr="003771E4">
        <w:rPr>
          <w:rFonts w:ascii="Times New Roman" w:hAnsi="Times New Roman" w:cs="Times New Roman"/>
        </w:rPr>
        <w:t xml:space="preserve"> million was net </w:t>
      </w:r>
      <w:r>
        <w:rPr>
          <w:rFonts w:ascii="Times New Roman" w:hAnsi="Times New Roman" w:cs="Times New Roman"/>
        </w:rPr>
        <w:t xml:space="preserve">NERLYNX </w:t>
      </w:r>
      <w:r w:rsidRPr="003771E4">
        <w:rPr>
          <w:rFonts w:ascii="Times New Roman" w:hAnsi="Times New Roman" w:cs="Times New Roman"/>
        </w:rPr>
        <w:t>revenue and $</w:t>
      </w:r>
      <w:r w:rsidR="00EB4AE3">
        <w:rPr>
          <w:rFonts w:ascii="Times New Roman" w:hAnsi="Times New Roman" w:cs="Times New Roman"/>
        </w:rPr>
        <w:t>50.5</w:t>
      </w:r>
      <w:r>
        <w:rPr>
          <w:rFonts w:ascii="Times New Roman" w:hAnsi="Times New Roman" w:cs="Times New Roman"/>
        </w:rPr>
        <w:t xml:space="preserve"> million was license revenue received from Puma’s sub-licensees. This compares to </w:t>
      </w:r>
      <w:r w:rsidRPr="003771E4">
        <w:rPr>
          <w:rFonts w:ascii="Times New Roman" w:hAnsi="Times New Roman" w:cs="Times New Roman"/>
        </w:rPr>
        <w:t xml:space="preserve">total revenue </w:t>
      </w:r>
      <w:r>
        <w:rPr>
          <w:rFonts w:ascii="Times New Roman" w:hAnsi="Times New Roman" w:cs="Times New Roman"/>
        </w:rPr>
        <w:t xml:space="preserve">of </w:t>
      </w:r>
      <w:r w:rsidRPr="00BE5239">
        <w:rPr>
          <w:rFonts w:ascii="Times New Roman" w:hAnsi="Times New Roman" w:cs="Times New Roman"/>
        </w:rPr>
        <w:t>$</w:t>
      </w:r>
      <w:r>
        <w:rPr>
          <w:rFonts w:ascii="Times New Roman" w:hAnsi="Times New Roman" w:cs="Times New Roman"/>
        </w:rPr>
        <w:t>27.7</w:t>
      </w:r>
      <w:r w:rsidRPr="00BE5239">
        <w:rPr>
          <w:rFonts w:ascii="Times New Roman" w:hAnsi="Times New Roman" w:cs="Times New Roman"/>
        </w:rPr>
        <w:t xml:space="preserve"> </w:t>
      </w:r>
      <w:r w:rsidRPr="003771E4">
        <w:rPr>
          <w:rFonts w:ascii="Times New Roman" w:hAnsi="Times New Roman" w:cs="Times New Roman"/>
        </w:rPr>
        <w:t>million</w:t>
      </w:r>
      <w:r>
        <w:rPr>
          <w:rFonts w:ascii="Times New Roman" w:hAnsi="Times New Roman" w:cs="Times New Roman"/>
        </w:rPr>
        <w:t xml:space="preserve"> in 2017</w:t>
      </w:r>
      <w:r w:rsidRPr="003771E4">
        <w:rPr>
          <w:rFonts w:ascii="Times New Roman" w:hAnsi="Times New Roman" w:cs="Times New Roman"/>
        </w:rPr>
        <w:t xml:space="preserve">, </w:t>
      </w:r>
      <w:r>
        <w:rPr>
          <w:rFonts w:ascii="Times New Roman" w:hAnsi="Times New Roman" w:cs="Times New Roman"/>
        </w:rPr>
        <w:t>of</w:t>
      </w:r>
      <w:r w:rsidRPr="003771E4">
        <w:rPr>
          <w:rFonts w:ascii="Times New Roman" w:hAnsi="Times New Roman" w:cs="Times New Roman"/>
        </w:rPr>
        <w:t xml:space="preserve"> which</w:t>
      </w:r>
      <w:r>
        <w:rPr>
          <w:rFonts w:ascii="Times New Roman" w:hAnsi="Times New Roman" w:cs="Times New Roman"/>
        </w:rPr>
        <w:t xml:space="preserve"> $26.2 million </w:t>
      </w:r>
      <w:r w:rsidRPr="003771E4">
        <w:rPr>
          <w:rFonts w:ascii="Times New Roman" w:hAnsi="Times New Roman" w:cs="Times New Roman"/>
        </w:rPr>
        <w:t xml:space="preserve">was net </w:t>
      </w:r>
      <w:r>
        <w:rPr>
          <w:rFonts w:ascii="Times New Roman" w:hAnsi="Times New Roman" w:cs="Times New Roman"/>
        </w:rPr>
        <w:t xml:space="preserve">NERLYNX </w:t>
      </w:r>
      <w:r w:rsidRPr="003771E4">
        <w:rPr>
          <w:rFonts w:ascii="Times New Roman" w:hAnsi="Times New Roman" w:cs="Times New Roman"/>
        </w:rPr>
        <w:t>revenue</w:t>
      </w:r>
      <w:r>
        <w:rPr>
          <w:rFonts w:ascii="Times New Roman" w:hAnsi="Times New Roman" w:cs="Times New Roman"/>
        </w:rPr>
        <w:t xml:space="preserve"> and $1.5 million was license revenue.</w:t>
      </w:r>
      <w:r w:rsidRPr="003771E4">
        <w:rPr>
          <w:rFonts w:ascii="Times New Roman" w:hAnsi="Times New Roman" w:cs="Times New Roman"/>
        </w:rPr>
        <w:t xml:space="preserve"> </w:t>
      </w:r>
    </w:p>
    <w:p w14:paraId="5E738961" w14:textId="77777777" w:rsidR="00805D5D" w:rsidRPr="00805D5D" w:rsidRDefault="00373E5C" w:rsidP="00101F19">
      <w:pPr>
        <w:spacing w:after="0" w:line="240" w:lineRule="auto"/>
        <w:jc w:val="both"/>
        <w:rPr>
          <w:rFonts w:ascii="Times New Roman" w:eastAsia="Times New Roman" w:hAnsi="Times New Roman" w:cs="Times New Roman"/>
        </w:rPr>
      </w:pPr>
    </w:p>
    <w:bookmarkEnd w:id="1"/>
    <w:p w14:paraId="116A44B4" w14:textId="77777777" w:rsidR="00B2198E" w:rsidRPr="00245C76" w:rsidRDefault="00E10D53" w:rsidP="00667FD2">
      <w:pPr>
        <w:autoSpaceDE/>
        <w:autoSpaceDN/>
        <w:adjustRightInd/>
        <w:spacing w:after="0" w:line="230" w:lineRule="auto"/>
        <w:ind w:right="53"/>
        <w:jc w:val="both"/>
        <w:rPr>
          <w:rFonts w:ascii="Times New Roman" w:eastAsia="Times New Roman" w:hAnsi="Times New Roman" w:cs="Times New Roman"/>
          <w:b/>
          <w:lang w:val="en-GB"/>
        </w:rPr>
      </w:pPr>
      <w:r w:rsidRPr="00245C76">
        <w:rPr>
          <w:rFonts w:ascii="Times New Roman" w:eastAsia="Times New Roman" w:hAnsi="Times New Roman" w:cs="Times New Roman"/>
          <w:b/>
          <w:lang w:val="en-GB"/>
        </w:rPr>
        <w:t xml:space="preserve">Operating </w:t>
      </w:r>
      <w:r>
        <w:rPr>
          <w:rFonts w:ascii="Times New Roman" w:eastAsia="Times New Roman" w:hAnsi="Times New Roman" w:cs="Times New Roman"/>
          <w:b/>
          <w:lang w:val="en-GB"/>
        </w:rPr>
        <w:t xml:space="preserve">Costs and </w:t>
      </w:r>
      <w:r w:rsidRPr="00245C76">
        <w:rPr>
          <w:rFonts w:ascii="Times New Roman" w:eastAsia="Times New Roman" w:hAnsi="Times New Roman" w:cs="Times New Roman"/>
          <w:b/>
          <w:lang w:val="en-GB"/>
        </w:rPr>
        <w:t xml:space="preserve">Expenses </w:t>
      </w:r>
    </w:p>
    <w:p w14:paraId="34DA6789" w14:textId="77777777" w:rsidR="00B2198E" w:rsidRPr="00245C76" w:rsidRDefault="00373E5C" w:rsidP="00B2198E">
      <w:pPr>
        <w:widowControl/>
        <w:autoSpaceDE/>
        <w:autoSpaceDN/>
        <w:adjustRightInd/>
        <w:spacing w:after="0" w:line="240" w:lineRule="auto"/>
        <w:rPr>
          <w:rFonts w:ascii="Times New Roman" w:eastAsia="Times New Roman" w:hAnsi="Times New Roman" w:cs="Times New Roman"/>
          <w:lang w:val="en-GB"/>
        </w:rPr>
      </w:pPr>
    </w:p>
    <w:p w14:paraId="39C2CAD0" w14:textId="77777777" w:rsidR="00B2198E" w:rsidRPr="00245C76" w:rsidRDefault="00E10D53" w:rsidP="00B2198E">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lang w:val="en-GB"/>
        </w:rPr>
        <w:t>Total o</w:t>
      </w:r>
      <w:r w:rsidRPr="00245C76">
        <w:rPr>
          <w:rFonts w:ascii="Times New Roman" w:eastAsia="Times New Roman" w:hAnsi="Times New Roman" w:cs="Times New Roman"/>
          <w:lang w:val="en-GB"/>
        </w:rPr>
        <w:t xml:space="preserve">perating </w:t>
      </w:r>
      <w:r>
        <w:rPr>
          <w:rFonts w:ascii="Times New Roman" w:eastAsia="Times New Roman" w:hAnsi="Times New Roman" w:cs="Times New Roman"/>
          <w:lang w:val="en-GB"/>
        </w:rPr>
        <w:t xml:space="preserve">costs and </w:t>
      </w:r>
      <w:r w:rsidRPr="00245C76">
        <w:rPr>
          <w:rFonts w:ascii="Times New Roman" w:eastAsia="Times New Roman" w:hAnsi="Times New Roman" w:cs="Times New Roman"/>
          <w:lang w:val="en-GB"/>
        </w:rPr>
        <w:t>expenses were $</w:t>
      </w:r>
      <w:r>
        <w:rPr>
          <w:rFonts w:ascii="Times New Roman" w:eastAsia="Times New Roman" w:hAnsi="Times New Roman" w:cs="Times New Roman"/>
          <w:lang w:val="en-GB"/>
        </w:rPr>
        <w:t>89.7 million for the fourth</w:t>
      </w:r>
      <w:r w:rsidRPr="00245C76">
        <w:rPr>
          <w:rFonts w:ascii="Times New Roman" w:eastAsia="Times New Roman" w:hAnsi="Times New Roman" w:cs="Times New Roman"/>
          <w:lang w:val="en-GB"/>
        </w:rPr>
        <w:t xml:space="preserve"> quarter of </w:t>
      </w:r>
      <w:r>
        <w:rPr>
          <w:rFonts w:ascii="Times New Roman" w:eastAsia="Times New Roman" w:hAnsi="Times New Roman" w:cs="Times New Roman"/>
          <w:lang w:val="en-GB"/>
        </w:rPr>
        <w:t>2018</w:t>
      </w:r>
      <w:r w:rsidRPr="00245C76">
        <w:rPr>
          <w:rFonts w:ascii="Times New Roman" w:eastAsia="Times New Roman" w:hAnsi="Times New Roman" w:cs="Times New Roman"/>
          <w:lang w:val="en-GB"/>
        </w:rPr>
        <w:t>, compare</w:t>
      </w:r>
      <w:r>
        <w:rPr>
          <w:rFonts w:ascii="Times New Roman" w:eastAsia="Times New Roman" w:hAnsi="Times New Roman" w:cs="Times New Roman"/>
          <w:lang w:val="en-GB"/>
        </w:rPr>
        <w:t>d to $85.2 million for the fourth</w:t>
      </w:r>
      <w:r w:rsidRPr="00245C76">
        <w:rPr>
          <w:rFonts w:ascii="Times New Roman" w:eastAsia="Times New Roman" w:hAnsi="Times New Roman" w:cs="Times New Roman"/>
          <w:lang w:val="en-GB"/>
        </w:rPr>
        <w:t xml:space="preserve"> quarter of </w:t>
      </w:r>
      <w:r>
        <w:rPr>
          <w:rFonts w:ascii="Times New Roman" w:eastAsia="Times New Roman" w:hAnsi="Times New Roman" w:cs="Times New Roman"/>
          <w:lang w:val="en-GB"/>
        </w:rPr>
        <w:t>2017</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Total o</w:t>
      </w:r>
      <w:r w:rsidRPr="00245C76">
        <w:rPr>
          <w:rFonts w:ascii="Times New Roman" w:eastAsia="Times New Roman" w:hAnsi="Times New Roman" w:cs="Times New Roman"/>
          <w:lang w:val="en-GB"/>
        </w:rPr>
        <w:t xml:space="preserve">perating </w:t>
      </w:r>
      <w:r>
        <w:rPr>
          <w:rFonts w:ascii="Times New Roman" w:eastAsia="Times New Roman" w:hAnsi="Times New Roman" w:cs="Times New Roman"/>
          <w:lang w:val="en-GB"/>
        </w:rPr>
        <w:t xml:space="preserve">costs and </w:t>
      </w:r>
      <w:r w:rsidRPr="00245C76">
        <w:rPr>
          <w:rFonts w:ascii="Times New Roman" w:eastAsia="Times New Roman" w:hAnsi="Times New Roman" w:cs="Times New Roman"/>
          <w:lang w:val="en-GB"/>
        </w:rPr>
        <w:t>expenses were $</w:t>
      </w:r>
      <w:r>
        <w:rPr>
          <w:rFonts w:ascii="Times New Roman" w:eastAsia="Times New Roman" w:hAnsi="Times New Roman" w:cs="Times New Roman"/>
          <w:lang w:val="en-GB"/>
        </w:rPr>
        <w:t xml:space="preserve">345.7 million </w:t>
      </w:r>
      <w:r w:rsidRPr="00245C76">
        <w:rPr>
          <w:rFonts w:ascii="Times New Roman" w:eastAsia="Times New Roman" w:hAnsi="Times New Roman" w:cs="Times New Roman"/>
          <w:lang w:val="en-GB"/>
        </w:rPr>
        <w:t xml:space="preserve">for the </w:t>
      </w:r>
      <w:r>
        <w:rPr>
          <w:rFonts w:ascii="Times New Roman" w:eastAsia="Times New Roman" w:hAnsi="Times New Roman" w:cs="Times New Roman"/>
          <w:lang w:val="en-GB"/>
        </w:rPr>
        <w:t>full year 2018</w:t>
      </w:r>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compared to $320.1 </w:t>
      </w:r>
      <w:r w:rsidRPr="00245C76">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full year</w:t>
      </w:r>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2017</w:t>
      </w:r>
      <w:r w:rsidRPr="00245C76">
        <w:rPr>
          <w:rFonts w:ascii="Times New Roman" w:eastAsia="Times New Roman" w:hAnsi="Times New Roman" w:cs="Times New Roman"/>
          <w:lang w:val="en-GB"/>
        </w:rPr>
        <w:t>.</w:t>
      </w:r>
    </w:p>
    <w:p w14:paraId="00EB5174" w14:textId="77777777" w:rsidR="00B2198E" w:rsidRDefault="00373E5C" w:rsidP="00B2198E">
      <w:pPr>
        <w:widowControl/>
        <w:autoSpaceDE/>
        <w:autoSpaceDN/>
        <w:adjustRightInd/>
        <w:spacing w:after="0" w:line="240" w:lineRule="auto"/>
        <w:rPr>
          <w:rFonts w:ascii="Times New Roman" w:eastAsia="Times New Roman" w:hAnsi="Times New Roman" w:cs="Times New Roman"/>
          <w:lang w:val="en-GB"/>
        </w:rPr>
      </w:pPr>
    </w:p>
    <w:p w14:paraId="5EA071FB" w14:textId="77777777" w:rsidR="00101F19" w:rsidRDefault="00E10D53" w:rsidP="00101F19">
      <w:pPr>
        <w:pStyle w:val="NormalWeb"/>
        <w:spacing w:after="0" w:line="240" w:lineRule="auto"/>
        <w:jc w:val="both"/>
        <w:rPr>
          <w:i/>
          <w:iCs/>
          <w:color w:val="000000"/>
          <w:sz w:val="22"/>
          <w:szCs w:val="22"/>
        </w:rPr>
      </w:pPr>
      <w:r>
        <w:rPr>
          <w:i/>
          <w:iCs/>
          <w:color w:val="000000"/>
          <w:sz w:val="22"/>
          <w:szCs w:val="22"/>
        </w:rPr>
        <w:t>Cost of Sales:</w:t>
      </w:r>
    </w:p>
    <w:p w14:paraId="4C4195C8" w14:textId="77777777" w:rsidR="00101F19" w:rsidRDefault="00373E5C" w:rsidP="00101F19">
      <w:pPr>
        <w:pStyle w:val="NormalWeb"/>
        <w:spacing w:after="0" w:line="240" w:lineRule="auto"/>
        <w:jc w:val="both"/>
        <w:rPr>
          <w:i/>
          <w:iCs/>
          <w:color w:val="000000"/>
          <w:sz w:val="22"/>
          <w:szCs w:val="22"/>
        </w:rPr>
      </w:pPr>
    </w:p>
    <w:p w14:paraId="0B1BF8AB" w14:textId="77777777" w:rsidR="00714DCD" w:rsidRDefault="00E10D53" w:rsidP="00443CF0">
      <w:pPr>
        <w:pStyle w:val="NormalWeb"/>
        <w:spacing w:after="0" w:line="240" w:lineRule="auto"/>
        <w:jc w:val="both"/>
        <w:rPr>
          <w:iCs/>
          <w:color w:val="000000"/>
          <w:sz w:val="22"/>
          <w:szCs w:val="22"/>
        </w:rPr>
      </w:pPr>
      <w:r>
        <w:rPr>
          <w:iCs/>
          <w:color w:val="000000"/>
          <w:sz w:val="22"/>
          <w:szCs w:val="22"/>
        </w:rPr>
        <w:t>Cost of sales was $10.3 million for the fourth quarter and $34.6 million for the full year 2018, compared to $</w:t>
      </w:r>
      <w:r w:rsidRPr="00714DCD">
        <w:rPr>
          <w:iCs/>
          <w:color w:val="000000"/>
          <w:sz w:val="22"/>
          <w:szCs w:val="22"/>
        </w:rPr>
        <w:t xml:space="preserve">4.1 million for the fourth quarter and $5.6 million for the </w:t>
      </w:r>
      <w:r>
        <w:rPr>
          <w:iCs/>
          <w:color w:val="000000"/>
          <w:sz w:val="22"/>
          <w:szCs w:val="22"/>
        </w:rPr>
        <w:t xml:space="preserve">full year </w:t>
      </w:r>
      <w:r w:rsidRPr="00714DCD">
        <w:rPr>
          <w:iCs/>
          <w:color w:val="000000"/>
          <w:sz w:val="22"/>
          <w:szCs w:val="22"/>
        </w:rPr>
        <w:t>2017</w:t>
      </w:r>
      <w:r>
        <w:rPr>
          <w:iCs/>
          <w:color w:val="000000"/>
          <w:sz w:val="22"/>
          <w:szCs w:val="22"/>
        </w:rPr>
        <w:t xml:space="preserve">. </w:t>
      </w:r>
    </w:p>
    <w:p w14:paraId="4B1F77E2" w14:textId="77777777" w:rsidR="00101F19" w:rsidRPr="00245C76" w:rsidRDefault="00373E5C" w:rsidP="00443CF0">
      <w:pPr>
        <w:widowControl/>
        <w:autoSpaceDE/>
        <w:autoSpaceDN/>
        <w:adjustRightInd/>
        <w:spacing w:after="0" w:line="240" w:lineRule="auto"/>
        <w:jc w:val="both"/>
        <w:rPr>
          <w:rFonts w:ascii="Times New Roman" w:eastAsia="Times New Roman" w:hAnsi="Times New Roman" w:cs="Times New Roman"/>
          <w:lang w:val="en-GB"/>
        </w:rPr>
      </w:pPr>
    </w:p>
    <w:p w14:paraId="1147090C" w14:textId="77777777" w:rsidR="00B2198E" w:rsidRPr="00245C76" w:rsidRDefault="00E10D53" w:rsidP="00443CF0">
      <w:pPr>
        <w:widowControl/>
        <w:autoSpaceDE/>
        <w:autoSpaceDN/>
        <w:adjustRightInd/>
        <w:spacing w:after="0" w:line="240" w:lineRule="auto"/>
        <w:jc w:val="both"/>
        <w:rPr>
          <w:rFonts w:ascii="Times New Roman" w:eastAsia="Times New Roman" w:hAnsi="Times New Roman" w:cs="Times New Roman"/>
          <w:i/>
          <w:lang w:val="en-GB"/>
        </w:rPr>
      </w:pPr>
      <w:r>
        <w:rPr>
          <w:rFonts w:ascii="Times New Roman" w:eastAsia="Times New Roman" w:hAnsi="Times New Roman" w:cs="Times New Roman"/>
          <w:i/>
          <w:lang w:val="en-GB"/>
        </w:rPr>
        <w:t xml:space="preserve">Selling, </w:t>
      </w:r>
      <w:r w:rsidRPr="00245C76">
        <w:rPr>
          <w:rFonts w:ascii="Times New Roman" w:eastAsia="Times New Roman" w:hAnsi="Times New Roman" w:cs="Times New Roman"/>
          <w:i/>
          <w:lang w:val="en-GB"/>
        </w:rPr>
        <w:t xml:space="preserve">General and Administrative Expenses: </w:t>
      </w:r>
    </w:p>
    <w:p w14:paraId="6D32D312" w14:textId="77777777" w:rsidR="00B2198E" w:rsidRPr="00245C76" w:rsidRDefault="00373E5C" w:rsidP="00443CF0">
      <w:pPr>
        <w:widowControl/>
        <w:autoSpaceDE/>
        <w:autoSpaceDN/>
        <w:adjustRightInd/>
        <w:spacing w:after="0" w:line="240" w:lineRule="auto"/>
        <w:jc w:val="both"/>
        <w:rPr>
          <w:rFonts w:ascii="Times New Roman" w:eastAsia="Times New Roman" w:hAnsi="Times New Roman" w:cs="Times New Roman"/>
          <w:lang w:val="en-GB"/>
        </w:rPr>
      </w:pPr>
    </w:p>
    <w:p w14:paraId="51D83ED7" w14:textId="77777777" w:rsidR="00C516EE" w:rsidRPr="002C57C7" w:rsidRDefault="00E10D53" w:rsidP="00443CF0">
      <w:pPr>
        <w:spacing w:after="0" w:line="240" w:lineRule="auto"/>
        <w:jc w:val="both"/>
        <w:rPr>
          <w:rFonts w:ascii="Times New Roman" w:hAnsi="Times New Roman" w:cs="Times New Roman"/>
        </w:rPr>
      </w:pPr>
      <w:r>
        <w:rPr>
          <w:rFonts w:ascii="Times New Roman" w:eastAsia="Times New Roman" w:hAnsi="Times New Roman" w:cs="Times New Roman"/>
          <w:lang w:val="en-GB"/>
        </w:rPr>
        <w:t>Selling, g</w:t>
      </w:r>
      <w:r w:rsidRPr="00245C76">
        <w:rPr>
          <w:rFonts w:ascii="Times New Roman" w:eastAsia="Times New Roman" w:hAnsi="Times New Roman" w:cs="Times New Roman"/>
          <w:lang w:val="en-GB"/>
        </w:rPr>
        <w:t>eneral and administrative expenses were $</w:t>
      </w:r>
      <w:r>
        <w:rPr>
          <w:rFonts w:ascii="Times New Roman" w:eastAsia="Times New Roman" w:hAnsi="Times New Roman" w:cs="Times New Roman"/>
          <w:lang w:val="en-GB"/>
        </w:rPr>
        <w:t xml:space="preserve">41.0 </w:t>
      </w:r>
      <w:r w:rsidRPr="00245C76">
        <w:rPr>
          <w:rFonts w:ascii="Times New Roman" w:eastAsia="Times New Roman" w:hAnsi="Times New Roman" w:cs="Times New Roman"/>
          <w:lang w:val="en-GB"/>
        </w:rPr>
        <w:t>million for</w:t>
      </w:r>
      <w:r>
        <w:rPr>
          <w:rFonts w:ascii="Times New Roman" w:eastAsia="Times New Roman" w:hAnsi="Times New Roman" w:cs="Times New Roman"/>
          <w:lang w:val="en-GB"/>
        </w:rPr>
        <w:t xml:space="preserve"> the fourth</w:t>
      </w:r>
      <w:r w:rsidRPr="00245C76">
        <w:rPr>
          <w:rFonts w:ascii="Times New Roman" w:eastAsia="Times New Roman" w:hAnsi="Times New Roman" w:cs="Times New Roman"/>
          <w:lang w:val="en-GB"/>
        </w:rPr>
        <w:t xml:space="preserve"> quarter of </w:t>
      </w:r>
      <w:r>
        <w:rPr>
          <w:rFonts w:ascii="Times New Roman" w:eastAsia="Times New Roman" w:hAnsi="Times New Roman" w:cs="Times New Roman"/>
          <w:lang w:val="en-GB"/>
        </w:rPr>
        <w:t>2018</w:t>
      </w:r>
      <w:r w:rsidRPr="00245C76">
        <w:rPr>
          <w:rFonts w:ascii="Times New Roman" w:eastAsia="Times New Roman" w:hAnsi="Times New Roman" w:cs="Times New Roman"/>
          <w:lang w:val="en-GB"/>
        </w:rPr>
        <w:t>, compar</w:t>
      </w:r>
      <w:r>
        <w:rPr>
          <w:rFonts w:ascii="Times New Roman" w:eastAsia="Times New Roman" w:hAnsi="Times New Roman" w:cs="Times New Roman"/>
          <w:lang w:val="en-GB"/>
        </w:rPr>
        <w:t>ed to selling, general and administrative expenses of $30.9 million for the fourth quarter of 2017. Selling, g</w:t>
      </w:r>
      <w:r w:rsidRPr="00245C76">
        <w:rPr>
          <w:rFonts w:ascii="Times New Roman" w:eastAsia="Times New Roman" w:hAnsi="Times New Roman" w:cs="Times New Roman"/>
          <w:lang w:val="en-GB"/>
        </w:rPr>
        <w:t xml:space="preserve">eneral and administrative expenses for </w:t>
      </w:r>
      <w:r>
        <w:rPr>
          <w:rFonts w:ascii="Times New Roman" w:eastAsia="Times New Roman" w:hAnsi="Times New Roman" w:cs="Times New Roman"/>
          <w:lang w:val="en-GB"/>
        </w:rPr>
        <w:t>full year</w:t>
      </w:r>
      <w:r w:rsidRPr="00245C76">
        <w:rPr>
          <w:rFonts w:ascii="Times New Roman" w:eastAsia="Times New Roman" w:hAnsi="Times New Roman" w:cs="Times New Roman"/>
          <w:lang w:val="en-GB"/>
        </w:rPr>
        <w:t xml:space="preserve"> </w:t>
      </w:r>
      <w:r>
        <w:rPr>
          <w:rFonts w:ascii="Times New Roman" w:eastAsia="Times New Roman" w:hAnsi="Times New Roman" w:cs="Times New Roman"/>
          <w:lang w:val="en-GB"/>
        </w:rPr>
        <w:t>2018 were $</w:t>
      </w:r>
      <w:bookmarkStart w:id="2" w:name="_Hlk506210659"/>
      <w:r>
        <w:rPr>
          <w:rFonts w:ascii="Times New Roman" w:eastAsia="Times New Roman" w:hAnsi="Times New Roman" w:cs="Times New Roman"/>
          <w:lang w:val="en-GB"/>
        </w:rPr>
        <w:t xml:space="preserve">146.2 </w:t>
      </w:r>
      <w:bookmarkEnd w:id="2"/>
      <w:r>
        <w:rPr>
          <w:rFonts w:ascii="Times New Roman" w:eastAsia="Times New Roman" w:hAnsi="Times New Roman" w:cs="Times New Roman"/>
          <w:lang w:val="en-GB"/>
        </w:rPr>
        <w:t xml:space="preserve">million, compared to $106.7 </w:t>
      </w:r>
      <w:r w:rsidRPr="0009342A">
        <w:rPr>
          <w:rFonts w:ascii="Times New Roman" w:eastAsia="Times New Roman" w:hAnsi="Times New Roman" w:cs="Times New Roman"/>
          <w:lang w:val="en-GB"/>
        </w:rPr>
        <w:t xml:space="preserve">million for </w:t>
      </w:r>
      <w:r>
        <w:rPr>
          <w:rFonts w:ascii="Times New Roman" w:eastAsia="Times New Roman" w:hAnsi="Times New Roman" w:cs="Times New Roman"/>
          <w:lang w:val="en-GB"/>
        </w:rPr>
        <w:t>full year</w:t>
      </w:r>
      <w:r w:rsidRPr="0009342A">
        <w:rPr>
          <w:rFonts w:ascii="Times New Roman" w:eastAsia="Times New Roman" w:hAnsi="Times New Roman" w:cs="Times New Roman"/>
          <w:lang w:val="en-GB"/>
        </w:rPr>
        <w:t xml:space="preserve"> </w:t>
      </w:r>
      <w:r>
        <w:rPr>
          <w:rFonts w:ascii="Times New Roman" w:eastAsia="Times New Roman" w:hAnsi="Times New Roman" w:cs="Times New Roman"/>
          <w:lang w:val="en-GB"/>
        </w:rPr>
        <w:t>2017</w:t>
      </w:r>
      <w:r w:rsidR="00C516EE">
        <w:rPr>
          <w:rFonts w:ascii="Times New Roman" w:eastAsia="Times New Roman" w:hAnsi="Times New Roman" w:cs="Times New Roman"/>
          <w:lang w:val="en-GB"/>
        </w:rPr>
        <w:t>, an</w:t>
      </w:r>
      <w:r w:rsidRPr="0009342A">
        <w:rPr>
          <w:rFonts w:ascii="Times New Roman" w:eastAsia="Times New Roman" w:hAnsi="Times New Roman" w:cs="Times New Roman"/>
        </w:rPr>
        <w:t xml:space="preserve"> increase of approximately </w:t>
      </w:r>
      <w:r w:rsidRPr="00927432">
        <w:rPr>
          <w:rFonts w:ascii="Times New Roman" w:eastAsia="Times New Roman" w:hAnsi="Times New Roman" w:cs="Times New Roman"/>
        </w:rPr>
        <w:t>$</w:t>
      </w:r>
      <w:r>
        <w:rPr>
          <w:rFonts w:ascii="Times New Roman" w:eastAsia="Times New Roman" w:hAnsi="Times New Roman" w:cs="Times New Roman"/>
        </w:rPr>
        <w:t>39.5</w:t>
      </w:r>
      <w:r w:rsidRPr="0009342A">
        <w:rPr>
          <w:rFonts w:ascii="Times New Roman" w:eastAsia="Times New Roman" w:hAnsi="Times New Roman" w:cs="Times New Roman"/>
        </w:rPr>
        <w:t xml:space="preserve"> million</w:t>
      </w:r>
      <w:r w:rsidR="00C516EE">
        <w:rPr>
          <w:rFonts w:ascii="Times New Roman" w:eastAsia="Times New Roman" w:hAnsi="Times New Roman" w:cs="Times New Roman"/>
        </w:rPr>
        <w:t>.</w:t>
      </w:r>
      <w:r w:rsidRPr="0009342A">
        <w:rPr>
          <w:rFonts w:ascii="Times New Roman" w:eastAsia="Times New Roman" w:hAnsi="Times New Roman" w:cs="Times New Roman"/>
        </w:rPr>
        <w:t xml:space="preserve"> </w:t>
      </w:r>
      <w:r w:rsidR="00C516EE">
        <w:rPr>
          <w:rFonts w:ascii="Times New Roman" w:eastAsia="Times New Roman" w:hAnsi="Times New Roman" w:cs="Times New Roman"/>
        </w:rPr>
        <w:t xml:space="preserve"> </w:t>
      </w:r>
      <w:r w:rsidR="00C516EE" w:rsidRPr="002C57C7">
        <w:rPr>
          <w:rFonts w:ascii="Times New Roman" w:hAnsi="Times New Roman" w:cs="Times New Roman"/>
        </w:rPr>
        <w:t xml:space="preserve">Increases in SG&amp;A expenses </w:t>
      </w:r>
      <w:r w:rsidR="004719FE">
        <w:rPr>
          <w:rFonts w:ascii="Times New Roman" w:hAnsi="Times New Roman" w:cs="Times New Roman"/>
        </w:rPr>
        <w:t xml:space="preserve">for the full year 2018 </w:t>
      </w:r>
      <w:r w:rsidR="00C516EE" w:rsidRPr="002C57C7">
        <w:rPr>
          <w:rFonts w:ascii="Times New Roman" w:hAnsi="Times New Roman" w:cs="Times New Roman"/>
        </w:rPr>
        <w:t>primarily related to the hiring of a sales force and the commercial launch of NERLYNX</w:t>
      </w:r>
      <w:r w:rsidR="00EB4AE3">
        <w:rPr>
          <w:rFonts w:ascii="Times New Roman" w:hAnsi="Times New Roman" w:cs="Times New Roman"/>
        </w:rPr>
        <w:t>,</w:t>
      </w:r>
      <w:r w:rsidR="00C516EE" w:rsidRPr="002C57C7">
        <w:rPr>
          <w:rFonts w:ascii="Times New Roman" w:hAnsi="Times New Roman" w:cs="Times New Roman"/>
        </w:rPr>
        <w:t xml:space="preserve"> including approximately $18.9 million in payroll and related expenses, $8.2 million in travel and meetings, $</w:t>
      </w:r>
      <w:r w:rsidR="004A754D">
        <w:rPr>
          <w:rFonts w:ascii="Times New Roman" w:hAnsi="Times New Roman" w:cs="Times New Roman"/>
        </w:rPr>
        <w:t>6.0</w:t>
      </w:r>
      <w:r w:rsidR="00C516EE" w:rsidRPr="002C57C7">
        <w:rPr>
          <w:rFonts w:ascii="Times New Roman" w:hAnsi="Times New Roman" w:cs="Times New Roman"/>
        </w:rPr>
        <w:t xml:space="preserve"> million in professional fees, such as marketing, market access and analytics, $3.7 million in stock-based compensation and $2.6 million in other expenses, such as software and facilities, to support overall corporate growth.</w:t>
      </w:r>
    </w:p>
    <w:p w14:paraId="6FEFAE1F" w14:textId="77777777" w:rsidR="00004DC5" w:rsidRPr="002C57C7" w:rsidRDefault="00373E5C" w:rsidP="00443CF0">
      <w:pPr>
        <w:autoSpaceDE/>
        <w:adjustRightInd/>
        <w:spacing w:after="0" w:line="240" w:lineRule="auto"/>
        <w:ind w:right="53"/>
        <w:jc w:val="both"/>
        <w:rPr>
          <w:rFonts w:ascii="Times New Roman" w:eastAsia="Times New Roman" w:hAnsi="Times New Roman" w:cs="Times New Roman"/>
          <w:lang w:val="en-GB"/>
        </w:rPr>
      </w:pPr>
    </w:p>
    <w:p w14:paraId="58F7CA4E" w14:textId="77777777" w:rsidR="00B2198E" w:rsidRPr="00837F71" w:rsidRDefault="00E10D53" w:rsidP="00443CF0">
      <w:pPr>
        <w:widowControl/>
        <w:autoSpaceDE/>
        <w:autoSpaceDN/>
        <w:adjustRightInd/>
        <w:spacing w:after="0" w:line="240" w:lineRule="auto"/>
        <w:jc w:val="both"/>
        <w:rPr>
          <w:rFonts w:ascii="Times New Roman" w:eastAsia="Times New Roman" w:hAnsi="Times New Roman" w:cs="Times New Roman"/>
          <w:i/>
          <w:lang w:val="en-GB"/>
        </w:rPr>
      </w:pPr>
      <w:r w:rsidRPr="00837F71">
        <w:rPr>
          <w:rFonts w:ascii="Times New Roman" w:eastAsia="Times New Roman" w:hAnsi="Times New Roman" w:cs="Times New Roman"/>
          <w:i/>
          <w:lang w:val="en-GB"/>
        </w:rPr>
        <w:t xml:space="preserve">Research and Development Expenses: </w:t>
      </w:r>
    </w:p>
    <w:p w14:paraId="3518F3AB" w14:textId="77777777" w:rsidR="00B2198E" w:rsidRPr="00837F71" w:rsidRDefault="00373E5C" w:rsidP="00443CF0">
      <w:pPr>
        <w:widowControl/>
        <w:autoSpaceDE/>
        <w:autoSpaceDN/>
        <w:adjustRightInd/>
        <w:spacing w:after="0" w:line="240" w:lineRule="auto"/>
        <w:jc w:val="both"/>
        <w:rPr>
          <w:rFonts w:ascii="Times New Roman" w:eastAsia="Times New Roman" w:hAnsi="Times New Roman" w:cs="Times New Roman"/>
          <w:lang w:val="en-GB"/>
        </w:rPr>
      </w:pPr>
    </w:p>
    <w:p w14:paraId="1948BF17" w14:textId="2EE728EB" w:rsidR="00837F71" w:rsidRPr="00837F71" w:rsidRDefault="00E10D53" w:rsidP="00443CF0">
      <w:pPr>
        <w:spacing w:after="0" w:line="240" w:lineRule="auto"/>
        <w:jc w:val="both"/>
        <w:rPr>
          <w:rFonts w:ascii="Times New Roman" w:hAnsi="Times New Roman" w:cs="Times New Roman"/>
          <w:color w:val="1F497D"/>
        </w:rPr>
      </w:pPr>
      <w:r w:rsidRPr="00837F71">
        <w:rPr>
          <w:rFonts w:ascii="Times New Roman" w:eastAsia="Times New Roman" w:hAnsi="Times New Roman" w:cs="Times New Roman"/>
          <w:lang w:val="en-GB"/>
        </w:rPr>
        <w:t>Research and development expenses were $38.4 million for the fourth quarter of 2018, compared to $50.2 million for the fourth quarter of 2017. Research and development expenses for the full year 2018 were $</w:t>
      </w:r>
      <w:bookmarkStart w:id="3" w:name="_Hlk506210894"/>
      <w:r w:rsidRPr="00837F71">
        <w:rPr>
          <w:rFonts w:ascii="Times New Roman" w:eastAsia="Times New Roman" w:hAnsi="Times New Roman" w:cs="Times New Roman"/>
          <w:lang w:val="en-GB"/>
        </w:rPr>
        <w:t xml:space="preserve">164.9 </w:t>
      </w:r>
      <w:bookmarkEnd w:id="3"/>
      <w:r w:rsidRPr="00837F71">
        <w:rPr>
          <w:rFonts w:ascii="Times New Roman" w:eastAsia="Times New Roman" w:hAnsi="Times New Roman" w:cs="Times New Roman"/>
          <w:lang w:val="en-GB"/>
        </w:rPr>
        <w:t>million, compared to $207.8 million for the full year 2017. The decrease of $42.9 million during the full year</w:t>
      </w:r>
      <w:r w:rsidRPr="00837F71">
        <w:rPr>
          <w:rFonts w:ascii="Times New Roman" w:eastAsia="Times New Roman" w:hAnsi="Times New Roman" w:cs="Times New Roman"/>
        </w:rPr>
        <w:t xml:space="preserve"> 2018 compared to the full year 2017 </w:t>
      </w:r>
      <w:r w:rsidRPr="00837F71">
        <w:rPr>
          <w:rFonts w:ascii="Times New Roman" w:eastAsia="Times New Roman" w:hAnsi="Times New Roman" w:cs="Times New Roman"/>
          <w:lang w:val="en-GB"/>
        </w:rPr>
        <w:t xml:space="preserve">resulted primarily from </w:t>
      </w:r>
      <w:r w:rsidR="00837F71" w:rsidRPr="00837F71">
        <w:rPr>
          <w:rFonts w:ascii="Times New Roman" w:hAnsi="Times New Roman" w:cs="Times New Roman"/>
        </w:rPr>
        <w:t>decreases of approximately $25.5 million in stock-based compensation, $</w:t>
      </w:r>
      <w:r w:rsidR="00687145">
        <w:rPr>
          <w:rFonts w:ascii="Times New Roman" w:hAnsi="Times New Roman" w:cs="Times New Roman"/>
        </w:rPr>
        <w:t>16.8</w:t>
      </w:r>
      <w:r w:rsidR="00837F71" w:rsidRPr="00837F71">
        <w:rPr>
          <w:rFonts w:ascii="Times New Roman" w:hAnsi="Times New Roman" w:cs="Times New Roman"/>
        </w:rPr>
        <w:t xml:space="preserve"> million in clinical trial expense, $2.6 million in consultant and contractor expense</w:t>
      </w:r>
      <w:r w:rsidR="00687145">
        <w:rPr>
          <w:rFonts w:ascii="Times New Roman" w:hAnsi="Times New Roman" w:cs="Times New Roman"/>
        </w:rPr>
        <w:t>,</w:t>
      </w:r>
      <w:r w:rsidR="00837F71" w:rsidRPr="00837F71">
        <w:rPr>
          <w:rFonts w:ascii="Times New Roman" w:hAnsi="Times New Roman" w:cs="Times New Roman"/>
        </w:rPr>
        <w:t xml:space="preserve"> partially offset by increases of approximately $2.</w:t>
      </w:r>
      <w:r w:rsidR="00687145">
        <w:rPr>
          <w:rFonts w:ascii="Times New Roman" w:hAnsi="Times New Roman" w:cs="Times New Roman"/>
        </w:rPr>
        <w:t>0</w:t>
      </w:r>
      <w:r w:rsidR="00837F71" w:rsidRPr="00837F71">
        <w:rPr>
          <w:rFonts w:ascii="Times New Roman" w:hAnsi="Times New Roman" w:cs="Times New Roman"/>
        </w:rPr>
        <w:t xml:space="preserve"> million </w:t>
      </w:r>
      <w:r w:rsidR="00687145">
        <w:rPr>
          <w:rFonts w:ascii="Times New Roman" w:hAnsi="Times New Roman" w:cs="Times New Roman"/>
        </w:rPr>
        <w:t xml:space="preserve">in </w:t>
      </w:r>
      <w:r w:rsidR="00837F71" w:rsidRPr="00837F71">
        <w:rPr>
          <w:rFonts w:ascii="Times New Roman" w:hAnsi="Times New Roman" w:cs="Times New Roman"/>
        </w:rPr>
        <w:t>R&amp;D expenses primarily related to headcount additions in the medical affairs, quality assurance, regulatory affairs and pharmacovigilance</w:t>
      </w:r>
      <w:r w:rsidR="00837F71" w:rsidRPr="00837F71">
        <w:rPr>
          <w:rFonts w:ascii="Times New Roman" w:hAnsi="Times New Roman" w:cs="Times New Roman"/>
          <w:color w:val="1F497D"/>
        </w:rPr>
        <w:t>.</w:t>
      </w:r>
    </w:p>
    <w:p w14:paraId="16D79246" w14:textId="77777777" w:rsidR="00C77842" w:rsidRDefault="00373E5C" w:rsidP="00A66166">
      <w:pPr>
        <w:autoSpaceDE/>
        <w:adjustRightInd/>
        <w:spacing w:after="0" w:line="228" w:lineRule="auto"/>
        <w:ind w:right="53"/>
        <w:jc w:val="both"/>
        <w:rPr>
          <w:rFonts w:ascii="Times New Roman" w:eastAsia="Times New Roman" w:hAnsi="Times New Roman" w:cs="Times New Roman"/>
          <w:lang w:val="en-GB"/>
        </w:rPr>
      </w:pPr>
    </w:p>
    <w:p w14:paraId="671354C1" w14:textId="77777777" w:rsidR="00C77842" w:rsidRDefault="00E10D53" w:rsidP="00C77842">
      <w:pPr>
        <w:widowControl/>
        <w:autoSpaceDE/>
        <w:autoSpaceDN/>
        <w:adjustRightInd/>
        <w:spacing w:after="0" w:line="240" w:lineRule="auto"/>
        <w:jc w:val="both"/>
        <w:rPr>
          <w:rFonts w:ascii="Times New Roman" w:eastAsia="Times New Roman" w:hAnsi="Times New Roman" w:cs="Times New Roman"/>
          <w:b/>
          <w:lang w:val="en-GB"/>
        </w:rPr>
      </w:pPr>
      <w:r>
        <w:rPr>
          <w:rFonts w:ascii="Times New Roman" w:eastAsia="Times New Roman" w:hAnsi="Times New Roman" w:cs="Times New Roman"/>
          <w:b/>
          <w:lang w:val="en-GB"/>
        </w:rPr>
        <w:t xml:space="preserve">Total </w:t>
      </w:r>
      <w:r w:rsidRPr="00A6721F">
        <w:rPr>
          <w:rFonts w:ascii="Times New Roman" w:eastAsia="Times New Roman" w:hAnsi="Times New Roman" w:cs="Times New Roman"/>
          <w:b/>
          <w:lang w:val="en-GB"/>
        </w:rPr>
        <w:t xml:space="preserve">Other </w:t>
      </w:r>
      <w:r>
        <w:rPr>
          <w:rFonts w:ascii="Times New Roman" w:eastAsia="Times New Roman" w:hAnsi="Times New Roman" w:cs="Times New Roman"/>
          <w:b/>
          <w:lang w:val="en-GB"/>
        </w:rPr>
        <w:t>Income (</w:t>
      </w:r>
      <w:r w:rsidRPr="00A6721F">
        <w:rPr>
          <w:rFonts w:ascii="Times New Roman" w:eastAsia="Times New Roman" w:hAnsi="Times New Roman" w:cs="Times New Roman"/>
          <w:b/>
          <w:lang w:val="en-GB"/>
        </w:rPr>
        <w:t>Expense</w:t>
      </w:r>
      <w:r>
        <w:rPr>
          <w:rFonts w:ascii="Times New Roman" w:eastAsia="Times New Roman" w:hAnsi="Times New Roman" w:cs="Times New Roman"/>
          <w:b/>
          <w:lang w:val="en-GB"/>
        </w:rPr>
        <w:t>s)</w:t>
      </w:r>
    </w:p>
    <w:p w14:paraId="6BA75B55" w14:textId="77777777" w:rsidR="00C77842" w:rsidRDefault="00373E5C" w:rsidP="00C77842">
      <w:pPr>
        <w:widowControl/>
        <w:autoSpaceDE/>
        <w:autoSpaceDN/>
        <w:adjustRightInd/>
        <w:spacing w:after="0" w:line="240" w:lineRule="auto"/>
        <w:jc w:val="both"/>
        <w:rPr>
          <w:rFonts w:ascii="Times New Roman" w:eastAsia="Times New Roman" w:hAnsi="Times New Roman" w:cs="Times New Roman"/>
          <w:b/>
          <w:lang w:val="en-GB"/>
        </w:rPr>
      </w:pPr>
    </w:p>
    <w:p w14:paraId="0E67C950" w14:textId="2667F1CA" w:rsidR="00C77842" w:rsidRDefault="00E10D53" w:rsidP="00C77842">
      <w:pPr>
        <w:autoSpaceDE/>
        <w:adjustRightInd/>
        <w:spacing w:after="0" w:line="228" w:lineRule="auto"/>
        <w:ind w:right="53"/>
        <w:jc w:val="both"/>
        <w:rPr>
          <w:rFonts w:ascii="Times New Roman" w:eastAsia="Times New Roman" w:hAnsi="Times New Roman" w:cs="Times New Roman"/>
          <w:lang w:val="en-GB"/>
        </w:rPr>
      </w:pPr>
      <w:r>
        <w:rPr>
          <w:rFonts w:ascii="Times New Roman" w:eastAsia="Times New Roman" w:hAnsi="Times New Roman" w:cs="Times New Roman"/>
          <w:lang w:val="en-GB"/>
        </w:rPr>
        <w:t>Total other expenses</w:t>
      </w:r>
      <w:r w:rsidRPr="00245C76">
        <w:rPr>
          <w:rFonts w:ascii="Times New Roman" w:eastAsia="Times New Roman" w:hAnsi="Times New Roman" w:cs="Times New Roman"/>
          <w:lang w:val="en-GB"/>
        </w:rPr>
        <w:t xml:space="preserve"> were $</w:t>
      </w:r>
      <w:r>
        <w:rPr>
          <w:rFonts w:ascii="Times New Roman" w:eastAsia="Times New Roman" w:hAnsi="Times New Roman" w:cs="Times New Roman"/>
          <w:lang w:val="en-GB"/>
        </w:rPr>
        <w:t>12.1 million for the fourth</w:t>
      </w:r>
      <w:r w:rsidRPr="00245C76">
        <w:rPr>
          <w:rFonts w:ascii="Times New Roman" w:eastAsia="Times New Roman" w:hAnsi="Times New Roman" w:cs="Times New Roman"/>
          <w:lang w:val="en-GB"/>
        </w:rPr>
        <w:t xml:space="preserve"> quarter of </w:t>
      </w:r>
      <w:r>
        <w:rPr>
          <w:rFonts w:ascii="Times New Roman" w:eastAsia="Times New Roman" w:hAnsi="Times New Roman" w:cs="Times New Roman"/>
          <w:lang w:val="en-GB"/>
        </w:rPr>
        <w:t>2018</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compared to total other expenses of $0.5 million for the fourth quarter of 2017. Total other expenses were $18.9 million for the year ended December 31, 2018, compared to total other income of $0.4 million for the year ended December 31, 2017</w:t>
      </w:r>
      <w:r w:rsidRPr="00245C76">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00837F71">
        <w:rPr>
          <w:rFonts w:ascii="Times New Roman" w:eastAsia="Times New Roman" w:hAnsi="Times New Roman" w:cs="Times New Roman"/>
          <w:lang w:val="en-GB"/>
        </w:rPr>
        <w:t xml:space="preserve">Other </w:t>
      </w:r>
      <w:r>
        <w:rPr>
          <w:rFonts w:ascii="Times New Roman" w:eastAsia="Times New Roman" w:hAnsi="Times New Roman" w:cs="Times New Roman"/>
          <w:lang w:val="en-GB"/>
        </w:rPr>
        <w:t>expense recorded in the fourth quarter of 2018 includes $9.0 million that represent</w:t>
      </w:r>
      <w:r w:rsidR="00837F71">
        <w:rPr>
          <w:rFonts w:ascii="Times New Roman" w:eastAsia="Times New Roman" w:hAnsi="Times New Roman" w:cs="Times New Roman"/>
          <w:lang w:val="en-GB"/>
        </w:rPr>
        <w:t>s</w:t>
      </w:r>
      <w:r>
        <w:rPr>
          <w:rFonts w:ascii="Times New Roman" w:eastAsia="Times New Roman" w:hAnsi="Times New Roman" w:cs="Times New Roman"/>
          <w:lang w:val="en-GB"/>
        </w:rPr>
        <w:t xml:space="preserve"> an </w:t>
      </w:r>
      <w:r w:rsidR="004719FE">
        <w:rPr>
          <w:rFonts w:ascii="Times New Roman" w:eastAsia="Times New Roman" w:hAnsi="Times New Roman" w:cs="Times New Roman"/>
          <w:lang w:val="en-GB"/>
        </w:rPr>
        <w:t xml:space="preserve">initial </w:t>
      </w:r>
      <w:r>
        <w:rPr>
          <w:rFonts w:ascii="Times New Roman" w:eastAsia="Times New Roman" w:hAnsi="Times New Roman" w:cs="Times New Roman"/>
          <w:lang w:val="en-GB"/>
        </w:rPr>
        <w:t xml:space="preserve">estimate of </w:t>
      </w:r>
      <w:r w:rsidR="004719FE">
        <w:rPr>
          <w:rFonts w:ascii="Times New Roman" w:eastAsia="Times New Roman" w:hAnsi="Times New Roman" w:cs="Times New Roman"/>
          <w:lang w:val="en-GB"/>
        </w:rPr>
        <w:t xml:space="preserve">potential amounts that may be owed to class action participants as a result of the February 2019 </w:t>
      </w:r>
      <w:r>
        <w:rPr>
          <w:rFonts w:ascii="Times New Roman" w:eastAsia="Times New Roman" w:hAnsi="Times New Roman" w:cs="Times New Roman"/>
          <w:lang w:val="en-GB"/>
        </w:rPr>
        <w:t xml:space="preserve">jury verdict in a class action lawsuit, </w:t>
      </w:r>
      <w:r w:rsidRPr="00A60355">
        <w:rPr>
          <w:rFonts w:ascii="Times New Roman" w:eastAsia="Times New Roman" w:hAnsi="Times New Roman" w:cs="Times New Roman"/>
          <w:i/>
          <w:lang w:val="en-GB"/>
        </w:rPr>
        <w:t xml:space="preserve">Hsu vs. Puma Biotechnology, Inc., </w:t>
      </w:r>
      <w:proofErr w:type="gramStart"/>
      <w:r w:rsidRPr="00A60355">
        <w:rPr>
          <w:rFonts w:ascii="Times New Roman" w:eastAsia="Times New Roman" w:hAnsi="Times New Roman" w:cs="Times New Roman"/>
          <w:i/>
          <w:lang w:val="en-GB"/>
        </w:rPr>
        <w:t>et</w:t>
      </w:r>
      <w:r w:rsidR="004719FE">
        <w:rPr>
          <w:rFonts w:ascii="Times New Roman" w:eastAsia="Times New Roman" w:hAnsi="Times New Roman" w:cs="Times New Roman"/>
          <w:i/>
          <w:lang w:val="en-GB"/>
        </w:rPr>
        <w:t xml:space="preserve"> </w:t>
      </w:r>
      <w:r w:rsidRPr="00A60355">
        <w:rPr>
          <w:rFonts w:ascii="Times New Roman" w:eastAsia="Times New Roman" w:hAnsi="Times New Roman" w:cs="Times New Roman"/>
          <w:i/>
          <w:lang w:val="en-GB"/>
        </w:rPr>
        <w:t>al.</w:t>
      </w:r>
      <w:r>
        <w:rPr>
          <w:rFonts w:ascii="Times New Roman" w:eastAsia="Times New Roman" w:hAnsi="Times New Roman" w:cs="Times New Roman"/>
          <w:lang w:val="en-GB"/>
        </w:rPr>
        <w:t>.</w:t>
      </w:r>
      <w:proofErr w:type="gramEnd"/>
      <w:r>
        <w:rPr>
          <w:rFonts w:ascii="Times New Roman" w:eastAsia="Times New Roman" w:hAnsi="Times New Roman" w:cs="Times New Roman"/>
          <w:lang w:val="en-GB"/>
        </w:rPr>
        <w:t xml:space="preserve">  </w:t>
      </w:r>
      <w:r w:rsidR="004719FE">
        <w:rPr>
          <w:rFonts w:ascii="Times New Roman" w:eastAsia="Times New Roman" w:hAnsi="Times New Roman" w:cs="Times New Roman"/>
          <w:lang w:val="en-GB"/>
        </w:rPr>
        <w:t>The total amount of aggregate class-wide damages is uncertain and will be ascertained only after an extensive claims process and the exhaustion of any appeals. It is possible that the total damages will be higher than this estimate.</w:t>
      </w:r>
    </w:p>
    <w:p w14:paraId="3EA2B83C" w14:textId="77777777" w:rsidR="00371870" w:rsidRDefault="00373E5C" w:rsidP="00A66166">
      <w:pPr>
        <w:autoSpaceDE/>
        <w:adjustRightInd/>
        <w:spacing w:after="0" w:line="228" w:lineRule="auto"/>
        <w:ind w:right="53"/>
        <w:jc w:val="both"/>
        <w:rPr>
          <w:rFonts w:ascii="Times New Roman" w:eastAsia="Times New Roman" w:hAnsi="Times New Roman" w:cs="Times New Roman"/>
          <w:lang w:val="en-GB"/>
        </w:rPr>
      </w:pPr>
    </w:p>
    <w:p w14:paraId="0382BC27" w14:textId="77777777" w:rsidR="002C7C1A" w:rsidRDefault="00E10D53" w:rsidP="002C7C1A">
      <w:pPr>
        <w:spacing w:after="0" w:line="240" w:lineRule="auto"/>
        <w:jc w:val="both"/>
        <w:rPr>
          <w:rFonts w:ascii="Times New Roman" w:eastAsia="Arial" w:hAnsi="Times New Roman" w:cs="Times New Roman"/>
          <w:b/>
          <w:bCs/>
        </w:rPr>
      </w:pPr>
      <w:r>
        <w:rPr>
          <w:rFonts w:ascii="Times New Roman" w:eastAsia="Arial" w:hAnsi="Times New Roman" w:cs="Times New Roman"/>
          <w:b/>
          <w:bCs/>
        </w:rPr>
        <w:t>Conference Call</w:t>
      </w:r>
    </w:p>
    <w:p w14:paraId="4978DC4A" w14:textId="77777777" w:rsidR="002C7C1A" w:rsidRDefault="00373E5C" w:rsidP="002C7C1A">
      <w:pPr>
        <w:spacing w:after="0" w:line="240" w:lineRule="auto"/>
        <w:jc w:val="both"/>
        <w:rPr>
          <w:rFonts w:ascii="Times New Roman" w:eastAsia="Arial" w:hAnsi="Times New Roman" w:cs="Times New Roman"/>
          <w:b/>
          <w:bCs/>
        </w:rPr>
      </w:pPr>
    </w:p>
    <w:p w14:paraId="3CA7DE98" w14:textId="77777777" w:rsidR="002C7C1A" w:rsidRDefault="00E10D53" w:rsidP="002C7C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Puma will host a conference call </w:t>
      </w:r>
      <w:r>
        <w:rPr>
          <w:rFonts w:ascii="Times New Roman" w:hAnsi="Times New Roman" w:cs="Times New Roman"/>
          <w:color w:val="000000" w:themeColor="text1"/>
        </w:rPr>
        <w:t xml:space="preserve">to report its fourth quarter and full year 2018 financial results and provide an update on the Company's business and outlook </w:t>
      </w:r>
      <w:r>
        <w:rPr>
          <w:rFonts w:ascii="Times New Roman" w:eastAsia="Times New Roman" w:hAnsi="Times New Roman" w:cs="Times New Roman"/>
        </w:rPr>
        <w:t xml:space="preserve">at </w:t>
      </w:r>
      <w:r w:rsidRPr="006F4238">
        <w:rPr>
          <w:rFonts w:ascii="Times New Roman" w:eastAsia="Times New Roman" w:hAnsi="Times New Roman" w:cs="Times New Roman"/>
        </w:rPr>
        <w:t xml:space="preserve">1:30 p.m. PST/4:30 p.m. EST on Thursday, </w:t>
      </w:r>
      <w:r>
        <w:rPr>
          <w:rFonts w:ascii="Times New Roman" w:eastAsia="Times New Roman" w:hAnsi="Times New Roman" w:cs="Times New Roman"/>
        </w:rPr>
        <w:t>February 28, 2019. The call may be accessed by dialing 1-877-709-8150 (domestic) or 1-201-689-8354 (international) at least 10 minutes prior to the start of the call and referencing the “Puma Biotechnology Conference Call.” A live webcast of the conference call and presentation slides may be accessed on the Investors section of the Puma Biotechnology website at</w:t>
      </w:r>
      <w:r>
        <w:t xml:space="preserve"> </w:t>
      </w:r>
      <w:hyperlink r:id="rId8" w:history="1">
        <w:r>
          <w:rPr>
            <w:rStyle w:val="Hyperlink"/>
            <w:rFonts w:ascii="Times New Roman" w:eastAsia="Times New Roman" w:hAnsi="Times New Roman" w:cs="Times New Roman"/>
          </w:rPr>
          <w:t>http://www.pumabiotechnology.com/</w:t>
        </w:r>
      </w:hyperlink>
      <w:r>
        <w:rPr>
          <w:rFonts w:ascii="Times New Roman" w:eastAsia="Times New Roman" w:hAnsi="Times New Roman" w:cs="Times New Roman"/>
        </w:rPr>
        <w:t xml:space="preserve">. A replay of the call will be available approximately one hour after completion of the call and will be archived on the Company's website for 90 days. </w:t>
      </w:r>
    </w:p>
    <w:p w14:paraId="0F1353A6" w14:textId="77777777" w:rsidR="002C7C1A" w:rsidRDefault="00373E5C" w:rsidP="002C7C1A">
      <w:pPr>
        <w:spacing w:after="0" w:line="240" w:lineRule="auto"/>
        <w:jc w:val="both"/>
        <w:rPr>
          <w:rFonts w:ascii="Times New Roman" w:eastAsia="Arial" w:hAnsi="Times New Roman" w:cs="Times New Roman"/>
          <w:b/>
          <w:bCs/>
        </w:rPr>
      </w:pPr>
    </w:p>
    <w:p w14:paraId="737CC664"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b/>
        </w:rPr>
      </w:pPr>
      <w:r w:rsidRPr="0065513F">
        <w:rPr>
          <w:rFonts w:ascii="Times New Roman" w:eastAsia="Calibri" w:hAnsi="Times New Roman" w:cs="Times New Roman"/>
          <w:b/>
        </w:rPr>
        <w:t>About Puma Biotechnology</w:t>
      </w:r>
    </w:p>
    <w:p w14:paraId="14D3E849"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b/>
        </w:rPr>
      </w:pPr>
    </w:p>
    <w:p w14:paraId="2082F909"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rPr>
      </w:pPr>
      <w:r w:rsidRPr="0065513F">
        <w:rPr>
          <w:rFonts w:ascii="Times New Roman" w:eastAsia="Calibri" w:hAnsi="Times New Roman" w:cs="Times New Roman"/>
        </w:rPr>
        <w:t xml:space="preserve">Puma Biotechnology, Inc. is a biopharmaceutical company with a focus on the development and commercialization of innovative products to enhance cancer care.  Puma in-licenses the global development and commercialization rights to three drug candidates — PB272 (neratinib, oral), PB272 (neratinib, intravenous) and PB357.  Neratinib, oral was approved by the </w:t>
      </w:r>
      <w:r>
        <w:rPr>
          <w:rFonts w:ascii="Times New Roman" w:eastAsia="Calibri" w:hAnsi="Times New Roman" w:cs="Times New Roman"/>
        </w:rPr>
        <w:t>FDA</w:t>
      </w:r>
      <w:r w:rsidRPr="0065513F">
        <w:rPr>
          <w:rFonts w:ascii="Times New Roman" w:eastAsia="Calibri" w:hAnsi="Times New Roman" w:cs="Times New Roman"/>
        </w:rPr>
        <w:t xml:space="preserve"> in July </w:t>
      </w:r>
      <w:r>
        <w:rPr>
          <w:rFonts w:ascii="Times New Roman" w:eastAsia="Calibri" w:hAnsi="Times New Roman" w:cs="Times New Roman"/>
        </w:rPr>
        <w:t>2017</w:t>
      </w:r>
      <w:r w:rsidRPr="0065513F">
        <w:rPr>
          <w:rFonts w:ascii="Times New Roman" w:eastAsia="Calibri" w:hAnsi="Times New Roman" w:cs="Times New Roman"/>
        </w:rPr>
        <w:t xml:space="preserve"> for the extended adjuvant treatment of adult patients with early stage HER2-overexpressed/amplified breast cancer, following adjuvant trastuzumab-based therapy, and is marketed in the United States as NERLYNX</w:t>
      </w:r>
      <w:r w:rsidRPr="0065513F">
        <w:rPr>
          <w:rFonts w:ascii="Times New Roman" w:eastAsia="Calibri" w:hAnsi="Times New Roman" w:cs="Times New Roman"/>
          <w:vertAlign w:val="superscript"/>
        </w:rPr>
        <w:t>®</w:t>
      </w:r>
      <w:r w:rsidRPr="0065513F">
        <w:rPr>
          <w:rFonts w:ascii="Times New Roman" w:eastAsia="Calibri" w:hAnsi="Times New Roman" w:cs="Times New Roman"/>
        </w:rPr>
        <w:t xml:space="preserve"> (neratinib) tablets. </w:t>
      </w:r>
      <w:r w:rsidRPr="0065513F">
        <w:rPr>
          <w:rFonts w:ascii="Times New Roman" w:eastAsia="Calibri" w:hAnsi="Times New Roman" w:cs="Times New Roman"/>
          <w:color w:val="000000"/>
        </w:rPr>
        <w:t xml:space="preserve">NERLYNX was granted marketing authorization by the European Commission for the extended adjuvant treatment of hormone receptor-positive HER2-positive early stage breast cancer in September 2018. </w:t>
      </w:r>
      <w:r w:rsidRPr="0065513F">
        <w:rPr>
          <w:rFonts w:ascii="Times New Roman" w:eastAsia="Calibri" w:hAnsi="Times New Roman" w:cs="Times New Roman"/>
        </w:rPr>
        <w:t>NERLYNX is a registered trademark of Puma Biotechnology, Inc.</w:t>
      </w:r>
    </w:p>
    <w:p w14:paraId="5B9890CE"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06F81411" w14:textId="77777777" w:rsidR="0065513F" w:rsidRPr="0065513F" w:rsidRDefault="00E10D53" w:rsidP="0065513F">
      <w:pPr>
        <w:widowControl/>
        <w:autoSpaceDE/>
        <w:autoSpaceDN/>
        <w:adjustRightInd/>
        <w:spacing w:after="0" w:line="240" w:lineRule="auto"/>
        <w:jc w:val="both"/>
        <w:rPr>
          <w:rFonts w:ascii="Times New Roman" w:eastAsia="Times New Roman" w:hAnsi="Times New Roman" w:cs="Times New Roman"/>
          <w:color w:val="000000"/>
          <w:position w:val="-1"/>
        </w:rPr>
      </w:pPr>
      <w:r w:rsidRPr="0065513F">
        <w:rPr>
          <w:rFonts w:ascii="Times New Roman" w:eastAsia="Times New Roman" w:hAnsi="Times New Roman" w:cs="Times New Roman"/>
          <w:position w:val="-1"/>
        </w:rPr>
        <w:t>Further</w:t>
      </w:r>
      <w:r w:rsidRPr="0065513F">
        <w:rPr>
          <w:rFonts w:ascii="Times New Roman" w:eastAsia="Times New Roman" w:hAnsi="Times New Roman" w:cs="Times New Roman"/>
          <w:spacing w:val="-1"/>
          <w:position w:val="-1"/>
        </w:rPr>
        <w:t xml:space="preserve"> </w:t>
      </w:r>
      <w:r w:rsidRPr="0065513F">
        <w:rPr>
          <w:rFonts w:ascii="Times New Roman" w:eastAsia="Times New Roman" w:hAnsi="Times New Roman" w:cs="Times New Roman"/>
          <w:position w:val="-1"/>
        </w:rPr>
        <w:t>infor</w:t>
      </w:r>
      <w:r w:rsidRPr="0065513F">
        <w:rPr>
          <w:rFonts w:ascii="Times New Roman" w:eastAsia="Times New Roman" w:hAnsi="Times New Roman" w:cs="Times New Roman"/>
          <w:spacing w:val="-2"/>
          <w:position w:val="-1"/>
        </w:rPr>
        <w:t>m</w:t>
      </w:r>
      <w:r w:rsidRPr="0065513F">
        <w:rPr>
          <w:rFonts w:ascii="Times New Roman" w:eastAsia="Times New Roman" w:hAnsi="Times New Roman" w:cs="Times New Roman"/>
          <w:position w:val="-1"/>
        </w:rPr>
        <w:t>ation about Pu</w:t>
      </w:r>
      <w:r w:rsidRPr="0065513F">
        <w:rPr>
          <w:rFonts w:ascii="Times New Roman" w:eastAsia="Times New Roman" w:hAnsi="Times New Roman" w:cs="Times New Roman"/>
          <w:spacing w:val="-2"/>
          <w:position w:val="-1"/>
        </w:rPr>
        <w:t>m</w:t>
      </w:r>
      <w:r w:rsidRPr="0065513F">
        <w:rPr>
          <w:rFonts w:ascii="Times New Roman" w:eastAsia="Times New Roman" w:hAnsi="Times New Roman" w:cs="Times New Roman"/>
          <w:position w:val="-1"/>
        </w:rPr>
        <w:t>a Bi</w:t>
      </w:r>
      <w:r w:rsidRPr="0065513F">
        <w:rPr>
          <w:rFonts w:ascii="Times New Roman" w:eastAsia="Times New Roman" w:hAnsi="Times New Roman" w:cs="Times New Roman"/>
          <w:spacing w:val="1"/>
          <w:position w:val="-1"/>
        </w:rPr>
        <w:t>o</w:t>
      </w:r>
      <w:r w:rsidRPr="0065513F">
        <w:rPr>
          <w:rFonts w:ascii="Times New Roman" w:eastAsia="Times New Roman" w:hAnsi="Times New Roman" w:cs="Times New Roman"/>
          <w:position w:val="-1"/>
        </w:rPr>
        <w:t>technology</w:t>
      </w:r>
      <w:r w:rsidRPr="0065513F">
        <w:rPr>
          <w:rFonts w:ascii="Times New Roman" w:eastAsia="Times New Roman" w:hAnsi="Times New Roman" w:cs="Times New Roman"/>
          <w:spacing w:val="-1"/>
          <w:position w:val="-1"/>
        </w:rPr>
        <w:t xml:space="preserve"> </w:t>
      </w:r>
      <w:r w:rsidRPr="0065513F">
        <w:rPr>
          <w:rFonts w:ascii="Times New Roman" w:eastAsia="Times New Roman" w:hAnsi="Times New Roman" w:cs="Times New Roman"/>
          <w:position w:val="-1"/>
        </w:rPr>
        <w:t xml:space="preserve">may be </w:t>
      </w:r>
      <w:r w:rsidRPr="0065513F">
        <w:rPr>
          <w:rFonts w:ascii="Times New Roman" w:eastAsia="Times New Roman" w:hAnsi="Times New Roman" w:cs="Times New Roman"/>
          <w:spacing w:val="-1"/>
          <w:position w:val="-1"/>
        </w:rPr>
        <w:t>f</w:t>
      </w:r>
      <w:r w:rsidRPr="0065513F">
        <w:rPr>
          <w:rFonts w:ascii="Times New Roman" w:eastAsia="Times New Roman" w:hAnsi="Times New Roman" w:cs="Times New Roman"/>
          <w:position w:val="-1"/>
        </w:rPr>
        <w:t xml:space="preserve">ound at </w:t>
      </w:r>
      <w:hyperlink r:id="rId9" w:history="1">
        <w:r w:rsidRPr="0065513F">
          <w:rPr>
            <w:rFonts w:ascii="Times New Roman" w:eastAsia="Times New Roman" w:hAnsi="Times New Roman" w:cs="Times New Roman"/>
            <w:color w:val="0563C1"/>
            <w:position w:val="-1"/>
            <w:u w:val="single"/>
          </w:rPr>
          <w:t>w</w:t>
        </w:r>
        <w:r w:rsidRPr="0065513F">
          <w:rPr>
            <w:rFonts w:ascii="Times New Roman" w:eastAsia="Times New Roman" w:hAnsi="Times New Roman" w:cs="Times New Roman"/>
            <w:color w:val="0563C1"/>
            <w:spacing w:val="-1"/>
            <w:position w:val="-1"/>
            <w:u w:val="single"/>
          </w:rPr>
          <w:t>w</w:t>
        </w:r>
        <w:r w:rsidRPr="0065513F">
          <w:rPr>
            <w:rFonts w:ascii="Times New Roman" w:eastAsia="Times New Roman" w:hAnsi="Times New Roman" w:cs="Times New Roman"/>
            <w:color w:val="0563C1"/>
            <w:position w:val="-1"/>
            <w:u w:val="single"/>
          </w:rPr>
          <w:t>w.p</w:t>
        </w:r>
        <w:r w:rsidRPr="0065513F">
          <w:rPr>
            <w:rFonts w:ascii="Times New Roman" w:eastAsia="Times New Roman" w:hAnsi="Times New Roman" w:cs="Times New Roman"/>
            <w:color w:val="0563C1"/>
            <w:spacing w:val="1"/>
            <w:position w:val="-1"/>
            <w:u w:val="single"/>
          </w:rPr>
          <w:t>u</w:t>
        </w:r>
        <w:r w:rsidRPr="0065513F">
          <w:rPr>
            <w:rFonts w:ascii="Times New Roman" w:eastAsia="Times New Roman" w:hAnsi="Times New Roman" w:cs="Times New Roman"/>
            <w:color w:val="0563C1"/>
            <w:spacing w:val="-2"/>
            <w:position w:val="-1"/>
            <w:u w:val="single"/>
          </w:rPr>
          <w:t>m</w:t>
        </w:r>
        <w:r w:rsidRPr="0065513F">
          <w:rPr>
            <w:rFonts w:ascii="Times New Roman" w:eastAsia="Times New Roman" w:hAnsi="Times New Roman" w:cs="Times New Roman"/>
            <w:color w:val="0563C1"/>
            <w:position w:val="-1"/>
            <w:u w:val="single"/>
          </w:rPr>
          <w:t>abiotec</w:t>
        </w:r>
        <w:r w:rsidRPr="0065513F">
          <w:rPr>
            <w:rFonts w:ascii="Times New Roman" w:eastAsia="Times New Roman" w:hAnsi="Times New Roman" w:cs="Times New Roman"/>
            <w:color w:val="0563C1"/>
            <w:spacing w:val="-1"/>
            <w:position w:val="-1"/>
            <w:u w:val="single"/>
          </w:rPr>
          <w:t>h</w:t>
        </w:r>
        <w:r w:rsidRPr="0065513F">
          <w:rPr>
            <w:rFonts w:ascii="Times New Roman" w:eastAsia="Times New Roman" w:hAnsi="Times New Roman" w:cs="Times New Roman"/>
            <w:color w:val="0563C1"/>
            <w:position w:val="-1"/>
            <w:u w:val="single"/>
          </w:rPr>
          <w:t>nology.co</w:t>
        </w:r>
        <w:r w:rsidRPr="0065513F">
          <w:rPr>
            <w:rFonts w:ascii="Times New Roman" w:eastAsia="Times New Roman" w:hAnsi="Times New Roman" w:cs="Times New Roman"/>
            <w:color w:val="0563C1"/>
            <w:spacing w:val="-1"/>
            <w:position w:val="-1"/>
            <w:u w:val="single"/>
          </w:rPr>
          <w:t>m</w:t>
        </w:r>
      </w:hyperlink>
      <w:r w:rsidRPr="0065513F">
        <w:rPr>
          <w:rFonts w:ascii="Times New Roman" w:eastAsia="Times New Roman" w:hAnsi="Times New Roman" w:cs="Times New Roman"/>
          <w:color w:val="000000"/>
          <w:position w:val="-1"/>
        </w:rPr>
        <w:t>.</w:t>
      </w:r>
    </w:p>
    <w:p w14:paraId="762692DC" w14:textId="77777777" w:rsidR="0065513F" w:rsidRPr="0065513F" w:rsidRDefault="00373E5C" w:rsidP="0065513F">
      <w:pPr>
        <w:widowControl/>
        <w:autoSpaceDE/>
        <w:autoSpaceDN/>
        <w:adjustRightInd/>
        <w:spacing w:after="0" w:line="240" w:lineRule="auto"/>
        <w:jc w:val="both"/>
        <w:rPr>
          <w:rFonts w:ascii="Times New Roman" w:eastAsia="Times New Roman" w:hAnsi="Times New Roman" w:cs="Times New Roman"/>
          <w:b/>
        </w:rPr>
      </w:pPr>
    </w:p>
    <w:p w14:paraId="40DCF516" w14:textId="77777777" w:rsidR="0065513F" w:rsidRPr="0065513F" w:rsidRDefault="00373E5C" w:rsidP="0065513F">
      <w:pPr>
        <w:widowControl/>
        <w:autoSpaceDE/>
        <w:autoSpaceDN/>
        <w:adjustRightInd/>
        <w:spacing w:after="0" w:line="240" w:lineRule="auto"/>
        <w:jc w:val="both"/>
        <w:rPr>
          <w:rFonts w:ascii="Times New Roman" w:eastAsia="Times New Roman" w:hAnsi="Times New Roman" w:cs="Times New Roman"/>
          <w:b/>
        </w:rPr>
      </w:pPr>
    </w:p>
    <w:p w14:paraId="77B32DDF" w14:textId="77777777" w:rsidR="0065513F" w:rsidRPr="0065513F" w:rsidRDefault="00E10D53" w:rsidP="0065513F">
      <w:pPr>
        <w:widowControl/>
        <w:shd w:val="clear" w:color="auto" w:fill="FFFFFF"/>
        <w:autoSpaceDE/>
        <w:autoSpaceDN/>
        <w:adjustRightInd/>
        <w:spacing w:after="0" w:line="240" w:lineRule="auto"/>
        <w:rPr>
          <w:rFonts w:ascii="Times New Roman" w:eastAsia="Times New Roman" w:hAnsi="Times New Roman" w:cs="Times New Roman"/>
          <w:b/>
          <w:bCs/>
          <w:color w:val="000000"/>
          <w:lang w:val="en-GB" w:eastAsia="en-GB"/>
        </w:rPr>
      </w:pPr>
      <w:r w:rsidRPr="0065513F">
        <w:rPr>
          <w:rFonts w:ascii="Times New Roman" w:eastAsia="Times New Roman" w:hAnsi="Times New Roman" w:cs="Times New Roman"/>
          <w:b/>
          <w:bCs/>
          <w:color w:val="000000"/>
          <w:lang w:val="en-GB" w:eastAsia="en-GB"/>
        </w:rPr>
        <w:t>Important Safety Information Regarding NERLYNX</w:t>
      </w:r>
      <w:r w:rsidRPr="0065513F">
        <w:rPr>
          <w:rFonts w:ascii="Times New Roman" w:eastAsia="Times New Roman" w:hAnsi="Times New Roman" w:cs="Times New Roman"/>
          <w:b/>
          <w:bCs/>
          <w:color w:val="000000"/>
          <w:vertAlign w:val="superscript"/>
          <w:lang w:val="en-GB" w:eastAsia="en-GB"/>
        </w:rPr>
        <w:t>® </w:t>
      </w:r>
      <w:r w:rsidRPr="0065513F">
        <w:rPr>
          <w:rFonts w:ascii="Times New Roman" w:eastAsia="Times New Roman" w:hAnsi="Times New Roman" w:cs="Times New Roman"/>
          <w:b/>
          <w:bCs/>
          <w:color w:val="000000"/>
          <w:lang w:val="en-GB" w:eastAsia="en-GB"/>
        </w:rPr>
        <w:t>(neratinib) U.S. Indication</w:t>
      </w:r>
    </w:p>
    <w:p w14:paraId="2FF3BEE5" w14:textId="77777777" w:rsidR="0065513F" w:rsidRPr="0065513F" w:rsidRDefault="00373E5C" w:rsidP="0065513F">
      <w:pPr>
        <w:widowControl/>
        <w:shd w:val="clear" w:color="auto" w:fill="FFFFFF"/>
        <w:autoSpaceDE/>
        <w:autoSpaceDN/>
        <w:adjustRightInd/>
        <w:spacing w:after="0" w:line="240" w:lineRule="auto"/>
        <w:rPr>
          <w:rFonts w:ascii="Times New Roman" w:eastAsia="Times New Roman" w:hAnsi="Times New Roman" w:cs="Times New Roman"/>
          <w:color w:val="000000"/>
          <w:lang w:val="en-GB" w:eastAsia="en-GB"/>
        </w:rPr>
      </w:pPr>
    </w:p>
    <w:p w14:paraId="34EF2CD6"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b/>
        </w:rPr>
      </w:pPr>
      <w:r w:rsidRPr="0065513F">
        <w:rPr>
          <w:rFonts w:ascii="Times New Roman" w:eastAsia="Calibri" w:hAnsi="Times New Roman" w:cs="Times New Roman"/>
          <w:b/>
        </w:rPr>
        <w:t xml:space="preserve">NERLYNX® (neratinib) tablets, for oral use </w:t>
      </w:r>
    </w:p>
    <w:p w14:paraId="5697D8D2"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b/>
        </w:rPr>
      </w:pPr>
    </w:p>
    <w:p w14:paraId="1A65CA48"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rPr>
      </w:pPr>
      <w:r w:rsidRPr="0065513F">
        <w:rPr>
          <w:rFonts w:ascii="Times New Roman" w:eastAsia="Calibri" w:hAnsi="Times New Roman" w:cs="Times New Roman"/>
          <w:b/>
        </w:rPr>
        <w:t>INDICATIONS AND USAGE:</w:t>
      </w:r>
      <w:r w:rsidRPr="0065513F">
        <w:rPr>
          <w:rFonts w:ascii="Times New Roman" w:eastAsia="Calibri" w:hAnsi="Times New Roman" w:cs="Times New Roman"/>
        </w:rPr>
        <w:t xml:space="preserve"> NERLYNX is a kinase inhibitor indicated for the extended adjuvant treatment of adult patients with HER2 overexpressed/amplified breast cancer, to follow adjuvant trastuzumab-based therapy. </w:t>
      </w:r>
    </w:p>
    <w:p w14:paraId="4E0DE567"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06267192"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rPr>
      </w:pPr>
      <w:r w:rsidRPr="0065513F">
        <w:rPr>
          <w:rFonts w:ascii="Times New Roman" w:eastAsia="Calibri" w:hAnsi="Times New Roman" w:cs="Times New Roman"/>
          <w:b/>
        </w:rPr>
        <w:t>CONTRAINDICATIONS:</w:t>
      </w:r>
      <w:r w:rsidRPr="0065513F">
        <w:rPr>
          <w:rFonts w:ascii="Times New Roman" w:eastAsia="Calibri" w:hAnsi="Times New Roman" w:cs="Times New Roman"/>
        </w:rPr>
        <w:t xml:space="preserve"> None </w:t>
      </w:r>
    </w:p>
    <w:p w14:paraId="0BDF96A7"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1BA34961"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b/>
        </w:rPr>
      </w:pPr>
      <w:r w:rsidRPr="0065513F">
        <w:rPr>
          <w:rFonts w:ascii="Times New Roman" w:eastAsia="Calibri" w:hAnsi="Times New Roman" w:cs="Times New Roman"/>
          <w:b/>
        </w:rPr>
        <w:t xml:space="preserve">WARNINGS AND PRECAUTIONS: </w:t>
      </w:r>
    </w:p>
    <w:p w14:paraId="6242D75E"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b/>
        </w:rPr>
      </w:pPr>
    </w:p>
    <w:p w14:paraId="394D15C7"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rPr>
      </w:pPr>
      <w:r w:rsidRPr="0065513F">
        <w:rPr>
          <w:rFonts w:ascii="Times New Roman" w:eastAsia="Calibri" w:hAnsi="Times New Roman" w:cs="Times New Roman"/>
        </w:rPr>
        <w:t xml:space="preserve">• </w:t>
      </w:r>
      <w:r w:rsidRPr="0065513F">
        <w:rPr>
          <w:rFonts w:ascii="Times New Roman" w:eastAsia="Calibri" w:hAnsi="Times New Roman" w:cs="Times New Roman"/>
          <w:b/>
        </w:rPr>
        <w:t>Diarrhea:</w:t>
      </w:r>
      <w:r w:rsidRPr="0065513F">
        <w:rPr>
          <w:rFonts w:ascii="Times New Roman" w:eastAsia="Calibri" w:hAnsi="Times New Roman" w:cs="Times New Roman"/>
        </w:rPr>
        <w:t xml:space="preserve"> Aggressively manage diarrhea occurring despite recommended prophylaxis with additional antidiarrheals, fluids, and electrolytes as clinically indicated. Withhold NERLYNX in patients experiencing severe and/or persistent diarrhea. Permanently discontinue NERLYNX in patients experiencing Grade 4 diarrhea or Grade≥ 2 diarrhea that occurs after maximal dose reduction.</w:t>
      </w:r>
    </w:p>
    <w:p w14:paraId="5D494AF5"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5FCD86C6"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b/>
        </w:rPr>
      </w:pPr>
      <w:r w:rsidRPr="0065513F">
        <w:rPr>
          <w:rFonts w:ascii="Times New Roman" w:eastAsia="Calibri" w:hAnsi="Times New Roman" w:cs="Times New Roman"/>
          <w:b/>
        </w:rPr>
        <w:t>• Hepatotoxicity:</w:t>
      </w:r>
      <w:r w:rsidRPr="0065513F">
        <w:rPr>
          <w:rFonts w:ascii="Times New Roman" w:eastAsia="Calibri" w:hAnsi="Times New Roman" w:cs="Times New Roman"/>
        </w:rPr>
        <w:t xml:space="preserve"> Monitor liver function tests monthly for the first 3 months of treatment, then every 3 months while on treatment and as clinically indicated. Withhold NERLYNX in patients experiencing Grade 3 liver abnormalities and permanently discontinue NERLYNX inpatients experiencing Grade 4 liver abnormalities. </w:t>
      </w:r>
      <w:r w:rsidRPr="0065513F">
        <w:rPr>
          <w:rFonts w:ascii="Times New Roman" w:eastAsia="Calibri" w:hAnsi="Times New Roman" w:cs="Times New Roman"/>
        </w:rPr>
        <w:br/>
      </w:r>
    </w:p>
    <w:p w14:paraId="6AB837BD"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rPr>
      </w:pPr>
      <w:r w:rsidRPr="0065513F">
        <w:rPr>
          <w:rFonts w:ascii="Times New Roman" w:eastAsia="Calibri" w:hAnsi="Times New Roman" w:cs="Times New Roman"/>
          <w:b/>
        </w:rPr>
        <w:t>• Embryo-Fetal Toxicity:</w:t>
      </w:r>
      <w:r w:rsidRPr="0065513F">
        <w:rPr>
          <w:rFonts w:ascii="Times New Roman" w:eastAsia="Calibri" w:hAnsi="Times New Roman" w:cs="Times New Roman"/>
        </w:rPr>
        <w:t xml:space="preserve"> NERLYNX can cause fetal harm. Advise patients of potential risk to a fetus and to use effective contraception. </w:t>
      </w:r>
    </w:p>
    <w:p w14:paraId="383F3763"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6C3C8FC1"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rPr>
      </w:pPr>
      <w:r w:rsidRPr="0065513F">
        <w:rPr>
          <w:rFonts w:ascii="Times New Roman" w:eastAsia="Calibri" w:hAnsi="Times New Roman" w:cs="Times New Roman"/>
          <w:b/>
        </w:rPr>
        <w:t xml:space="preserve">ADVERSE REACTIONS: </w:t>
      </w:r>
      <w:r w:rsidRPr="0065513F">
        <w:rPr>
          <w:rFonts w:ascii="Times New Roman" w:eastAsia="Calibri" w:hAnsi="Times New Roman" w:cs="Times New Roman"/>
        </w:rPr>
        <w:t xml:space="preserve">The most common adverse reactions (≥ 5%) were diarrhea, nausea, abdominal pain, fatigue, vomiting, rash, stomatitis, decreased appetite, muscle spasms, dyspepsia, AST or ALT increase, nail disorder, dry skin, abdominal distention, epistaxis, weight decreased and urinary tract infection. </w:t>
      </w:r>
    </w:p>
    <w:p w14:paraId="6A63C131"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0FF76C2A" w14:textId="77777777" w:rsidR="0065513F" w:rsidRPr="0065513F" w:rsidRDefault="00E10D53" w:rsidP="0065513F">
      <w:pPr>
        <w:widowControl/>
        <w:autoSpaceDE/>
        <w:autoSpaceDN/>
        <w:adjustRightInd/>
        <w:spacing w:after="0" w:line="240" w:lineRule="auto"/>
        <w:jc w:val="both"/>
        <w:rPr>
          <w:rFonts w:ascii="Times New Roman" w:eastAsia="MS Mincho" w:hAnsi="Times New Roman" w:cs="Times New Roman"/>
          <w:b/>
          <w:bCs/>
          <w:color w:val="000000"/>
        </w:rPr>
      </w:pPr>
      <w:r w:rsidRPr="0065513F">
        <w:rPr>
          <w:rFonts w:ascii="Times New Roman" w:eastAsia="MS Mincho" w:hAnsi="Times New Roman" w:cs="Times New Roman"/>
          <w:b/>
          <w:bCs/>
          <w:color w:val="000000"/>
        </w:rPr>
        <w:t>To report SUSPECTED ADVERSE REACTIONS, contact Puma Biotechnology, Inc. at</w:t>
      </w:r>
    </w:p>
    <w:p w14:paraId="21FD484C" w14:textId="77777777" w:rsidR="0065513F" w:rsidRPr="0065513F" w:rsidRDefault="00E10D53" w:rsidP="0065513F">
      <w:pPr>
        <w:widowControl/>
        <w:autoSpaceDE/>
        <w:autoSpaceDN/>
        <w:adjustRightInd/>
        <w:spacing w:after="0" w:line="240" w:lineRule="auto"/>
        <w:jc w:val="both"/>
        <w:rPr>
          <w:rFonts w:ascii="Times New Roman" w:eastAsia="MS Mincho" w:hAnsi="Times New Roman" w:cs="Times New Roman"/>
          <w:b/>
          <w:bCs/>
          <w:color w:val="000000"/>
        </w:rPr>
      </w:pPr>
      <w:r w:rsidRPr="0065513F">
        <w:rPr>
          <w:rFonts w:ascii="Times New Roman" w:eastAsia="MS Mincho" w:hAnsi="Times New Roman" w:cs="Times New Roman"/>
          <w:b/>
          <w:bCs/>
          <w:color w:val="000000"/>
        </w:rPr>
        <w:t xml:space="preserve">1-844-NERLYNX (1-844-637-5969) and www.NERLYNX.com or FDA at 1-800-FDA-1088 or </w:t>
      </w:r>
      <w:r w:rsidRPr="0065513F">
        <w:rPr>
          <w:rFonts w:ascii="Times New Roman" w:eastAsia="MS Mincho" w:hAnsi="Times New Roman" w:cs="Times New Roman"/>
          <w:b/>
          <w:bCs/>
          <w:iCs/>
          <w:color w:val="000000"/>
        </w:rPr>
        <w:t>www.fda.gov/medwatch</w:t>
      </w:r>
      <w:r w:rsidRPr="0065513F">
        <w:rPr>
          <w:rFonts w:ascii="Times New Roman" w:eastAsia="MS Mincho" w:hAnsi="Times New Roman" w:cs="Times New Roman"/>
          <w:b/>
          <w:bCs/>
          <w:color w:val="000000"/>
        </w:rPr>
        <w:t>.</w:t>
      </w:r>
    </w:p>
    <w:p w14:paraId="0CCB5890"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b/>
        </w:rPr>
      </w:pPr>
    </w:p>
    <w:p w14:paraId="701154B1" w14:textId="77777777" w:rsidR="0065513F" w:rsidRPr="0065513F" w:rsidRDefault="00E10D53" w:rsidP="0065513F">
      <w:pPr>
        <w:widowControl/>
        <w:autoSpaceDE/>
        <w:autoSpaceDN/>
        <w:adjustRightInd/>
        <w:spacing w:after="0" w:line="240" w:lineRule="auto"/>
        <w:rPr>
          <w:rFonts w:ascii="Times New Roman" w:eastAsia="Calibri" w:hAnsi="Times New Roman" w:cs="Times New Roman"/>
          <w:b/>
        </w:rPr>
      </w:pPr>
      <w:r w:rsidRPr="0065513F">
        <w:rPr>
          <w:rFonts w:ascii="Times New Roman" w:eastAsia="Calibri" w:hAnsi="Times New Roman" w:cs="Times New Roman"/>
          <w:b/>
        </w:rPr>
        <w:t xml:space="preserve">DRUG INTERACTIONS: </w:t>
      </w:r>
      <w:r w:rsidRPr="0065513F">
        <w:rPr>
          <w:rFonts w:ascii="Times New Roman" w:eastAsia="Calibri" w:hAnsi="Times New Roman" w:cs="Times New Roman"/>
          <w:b/>
        </w:rPr>
        <w:br/>
      </w:r>
    </w:p>
    <w:p w14:paraId="63EAF5F9" w14:textId="77777777" w:rsidR="0065513F" w:rsidRPr="0065513F" w:rsidRDefault="00E10D53" w:rsidP="0065513F">
      <w:pPr>
        <w:widowControl/>
        <w:numPr>
          <w:ilvl w:val="0"/>
          <w:numId w:val="4"/>
        </w:numPr>
        <w:autoSpaceDE/>
        <w:autoSpaceDN/>
        <w:adjustRightInd/>
        <w:spacing w:after="0" w:line="240" w:lineRule="auto"/>
        <w:contextualSpacing/>
        <w:jc w:val="both"/>
        <w:rPr>
          <w:rFonts w:ascii="Times New Roman" w:eastAsia="Times New Roman" w:hAnsi="Times New Roman" w:cs="Times New Roman"/>
          <w:bCs/>
          <w:color w:val="000000"/>
          <w:lang w:eastAsia="zh-TW"/>
        </w:rPr>
      </w:pPr>
      <w:r w:rsidRPr="0065513F">
        <w:rPr>
          <w:rFonts w:ascii="Times New Roman" w:eastAsia="Times New Roman" w:hAnsi="Times New Roman" w:cs="Times New Roman"/>
          <w:bCs/>
          <w:color w:val="000000"/>
          <w:lang w:eastAsia="zh-TW"/>
        </w:rPr>
        <w:t>Gastric acid reducing agents:  Avoid concomitant use with proton pump inhibitors (PPI) and H2-receptor antagonists.  Separate NERLYNX by 3 hours after antacid dosing.</w:t>
      </w:r>
    </w:p>
    <w:p w14:paraId="47EB2C0C" w14:textId="77777777" w:rsidR="0065513F" w:rsidRPr="0065513F" w:rsidRDefault="00E10D53" w:rsidP="0065513F">
      <w:pPr>
        <w:widowControl/>
        <w:numPr>
          <w:ilvl w:val="0"/>
          <w:numId w:val="4"/>
        </w:numPr>
        <w:autoSpaceDE/>
        <w:autoSpaceDN/>
        <w:adjustRightInd/>
        <w:spacing w:after="0" w:line="240" w:lineRule="auto"/>
        <w:contextualSpacing/>
        <w:jc w:val="both"/>
        <w:rPr>
          <w:rFonts w:ascii="Times New Roman" w:eastAsia="Times New Roman" w:hAnsi="Times New Roman" w:cs="Times New Roman"/>
          <w:bCs/>
          <w:color w:val="000000"/>
          <w:lang w:eastAsia="zh-TW"/>
        </w:rPr>
      </w:pPr>
      <w:r w:rsidRPr="0065513F">
        <w:rPr>
          <w:rFonts w:ascii="Times New Roman" w:eastAsia="Times New Roman" w:hAnsi="Times New Roman" w:cs="Times New Roman"/>
          <w:bCs/>
          <w:color w:val="000000"/>
          <w:lang w:eastAsia="zh-TW"/>
        </w:rPr>
        <w:t xml:space="preserve">Strong or moderate CYP3A4 inhibitors:  Avoid concomitant use. </w:t>
      </w:r>
    </w:p>
    <w:p w14:paraId="240592FD" w14:textId="77777777" w:rsidR="0065513F" w:rsidRPr="0065513F" w:rsidRDefault="00E10D53" w:rsidP="0065513F">
      <w:pPr>
        <w:widowControl/>
        <w:numPr>
          <w:ilvl w:val="0"/>
          <w:numId w:val="4"/>
        </w:numPr>
        <w:autoSpaceDE/>
        <w:autoSpaceDN/>
        <w:adjustRightInd/>
        <w:spacing w:after="0" w:line="240" w:lineRule="auto"/>
        <w:contextualSpacing/>
        <w:jc w:val="both"/>
        <w:rPr>
          <w:rFonts w:ascii="Times New Roman" w:eastAsia="Times New Roman" w:hAnsi="Times New Roman" w:cs="Times New Roman"/>
          <w:bCs/>
          <w:color w:val="000000"/>
          <w:lang w:eastAsia="zh-TW"/>
        </w:rPr>
      </w:pPr>
      <w:r w:rsidRPr="0065513F">
        <w:rPr>
          <w:rFonts w:ascii="Times New Roman" w:eastAsia="Times New Roman" w:hAnsi="Times New Roman" w:cs="Times New Roman"/>
          <w:bCs/>
          <w:color w:val="000000"/>
          <w:lang w:eastAsia="zh-TW"/>
        </w:rPr>
        <w:t>Strong or moderate CYP3A4 inducers:  Avoid concomitant use.</w:t>
      </w:r>
    </w:p>
    <w:p w14:paraId="04E4CA75" w14:textId="77777777" w:rsidR="0065513F" w:rsidRPr="0065513F" w:rsidRDefault="00E10D53" w:rsidP="0065513F">
      <w:pPr>
        <w:widowControl/>
        <w:numPr>
          <w:ilvl w:val="0"/>
          <w:numId w:val="4"/>
        </w:numPr>
        <w:autoSpaceDE/>
        <w:autoSpaceDN/>
        <w:adjustRightInd/>
        <w:spacing w:after="0" w:line="240" w:lineRule="auto"/>
        <w:contextualSpacing/>
        <w:jc w:val="both"/>
        <w:rPr>
          <w:rFonts w:ascii="Times New Roman" w:eastAsia="Times New Roman" w:hAnsi="Times New Roman" w:cs="Times New Roman"/>
          <w:bCs/>
          <w:color w:val="000000"/>
          <w:lang w:eastAsia="zh-TW"/>
        </w:rPr>
      </w:pPr>
      <w:r w:rsidRPr="0065513F">
        <w:rPr>
          <w:rFonts w:ascii="Times New Roman" w:eastAsia="Times New Roman" w:hAnsi="Times New Roman" w:cs="Times New Roman"/>
          <w:bCs/>
          <w:color w:val="000000"/>
          <w:lang w:eastAsia="zh-TW"/>
        </w:rPr>
        <w:t>P-glycoprotein (P-</w:t>
      </w:r>
      <w:proofErr w:type="spellStart"/>
      <w:r w:rsidRPr="0065513F">
        <w:rPr>
          <w:rFonts w:ascii="Times New Roman" w:eastAsia="Times New Roman" w:hAnsi="Times New Roman" w:cs="Times New Roman"/>
          <w:bCs/>
          <w:color w:val="000000"/>
          <w:lang w:eastAsia="zh-TW"/>
        </w:rPr>
        <w:t>gp</w:t>
      </w:r>
      <w:proofErr w:type="spellEnd"/>
      <w:r w:rsidRPr="0065513F">
        <w:rPr>
          <w:rFonts w:ascii="Times New Roman" w:eastAsia="Times New Roman" w:hAnsi="Times New Roman" w:cs="Times New Roman"/>
          <w:bCs/>
          <w:color w:val="000000"/>
          <w:lang w:eastAsia="zh-TW"/>
        </w:rPr>
        <w:t>) substrates:  Monitor for adverse reactions of narrow therapeutic agents that are P-</w:t>
      </w:r>
      <w:proofErr w:type="spellStart"/>
      <w:r w:rsidRPr="0065513F">
        <w:rPr>
          <w:rFonts w:ascii="Times New Roman" w:eastAsia="Times New Roman" w:hAnsi="Times New Roman" w:cs="Times New Roman"/>
          <w:bCs/>
          <w:color w:val="000000"/>
          <w:lang w:eastAsia="zh-TW"/>
        </w:rPr>
        <w:t>gp</w:t>
      </w:r>
      <w:proofErr w:type="spellEnd"/>
      <w:r w:rsidRPr="0065513F">
        <w:rPr>
          <w:rFonts w:ascii="Times New Roman" w:eastAsia="Times New Roman" w:hAnsi="Times New Roman" w:cs="Times New Roman"/>
          <w:bCs/>
          <w:color w:val="000000"/>
          <w:lang w:eastAsia="zh-TW"/>
        </w:rPr>
        <w:t xml:space="preserve"> substrates when used concomitantly with NERLYNX. </w:t>
      </w:r>
    </w:p>
    <w:p w14:paraId="5837961C"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b/>
        </w:rPr>
      </w:pPr>
    </w:p>
    <w:p w14:paraId="6786A56F" w14:textId="77777777" w:rsidR="0065513F" w:rsidRPr="0065513F" w:rsidRDefault="00E10D53" w:rsidP="0065513F">
      <w:pPr>
        <w:widowControl/>
        <w:autoSpaceDE/>
        <w:autoSpaceDN/>
        <w:adjustRightInd/>
        <w:spacing w:after="0" w:line="240" w:lineRule="auto"/>
        <w:rPr>
          <w:rFonts w:ascii="Times New Roman" w:eastAsia="Calibri" w:hAnsi="Times New Roman" w:cs="Times New Roman"/>
          <w:b/>
        </w:rPr>
      </w:pPr>
      <w:r w:rsidRPr="0065513F">
        <w:rPr>
          <w:rFonts w:ascii="Times New Roman" w:eastAsia="Calibri" w:hAnsi="Times New Roman" w:cs="Times New Roman"/>
          <w:b/>
        </w:rPr>
        <w:t xml:space="preserve">USE IN SPECIFIC POPULATIONS: </w:t>
      </w:r>
      <w:r w:rsidRPr="0065513F">
        <w:rPr>
          <w:rFonts w:ascii="Times New Roman" w:eastAsia="Calibri" w:hAnsi="Times New Roman" w:cs="Times New Roman"/>
          <w:b/>
        </w:rPr>
        <w:br/>
      </w:r>
    </w:p>
    <w:p w14:paraId="3385776E"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rPr>
      </w:pPr>
      <w:r w:rsidRPr="0065513F">
        <w:rPr>
          <w:rFonts w:ascii="Times New Roman" w:eastAsia="Calibri" w:hAnsi="Times New Roman" w:cs="Times New Roman"/>
        </w:rPr>
        <w:t xml:space="preserve">•Lactation: Advise women not to breastfeed. </w:t>
      </w:r>
    </w:p>
    <w:p w14:paraId="22438437"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1333EFE0" w14:textId="77777777" w:rsidR="0065513F" w:rsidRPr="0065513F" w:rsidRDefault="00E10D53" w:rsidP="0065513F">
      <w:pPr>
        <w:widowControl/>
        <w:autoSpaceDE/>
        <w:autoSpaceDN/>
        <w:adjustRightInd/>
        <w:spacing w:after="0" w:line="240" w:lineRule="auto"/>
        <w:jc w:val="both"/>
        <w:rPr>
          <w:rFonts w:ascii="Times New Roman" w:eastAsia="MS Mincho" w:hAnsi="Times New Roman" w:cs="Times New Roman"/>
          <w:b/>
          <w:color w:val="000000"/>
        </w:rPr>
      </w:pPr>
      <w:r w:rsidRPr="0065513F">
        <w:rPr>
          <w:rFonts w:ascii="Times New Roman" w:eastAsia="MS Mincho" w:hAnsi="Times New Roman" w:cs="Times New Roman"/>
          <w:b/>
          <w:color w:val="000000"/>
        </w:rPr>
        <w:t xml:space="preserve">Please see </w:t>
      </w:r>
      <w:hyperlink r:id="rId10" w:history="1">
        <w:r w:rsidRPr="0065513F">
          <w:rPr>
            <w:rFonts w:ascii="Times New Roman" w:eastAsia="MS Mincho" w:hAnsi="Times New Roman" w:cs="Times New Roman"/>
            <w:b/>
            <w:color w:val="0000FF"/>
            <w:u w:val="single"/>
          </w:rPr>
          <w:t>Full Prescribing Information</w:t>
        </w:r>
      </w:hyperlink>
      <w:r w:rsidRPr="0065513F">
        <w:rPr>
          <w:rFonts w:ascii="Times New Roman" w:eastAsia="MS Mincho" w:hAnsi="Times New Roman" w:cs="Times New Roman"/>
          <w:b/>
          <w:color w:val="000000"/>
        </w:rPr>
        <w:t xml:space="preserve"> for additional safety information. </w:t>
      </w:r>
    </w:p>
    <w:p w14:paraId="4A861933"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1581958B"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rPr>
      </w:pPr>
      <w:r w:rsidRPr="0065513F">
        <w:rPr>
          <w:rFonts w:ascii="Times New Roman" w:eastAsia="Calibri" w:hAnsi="Times New Roman" w:cs="Times New Roman"/>
        </w:rPr>
        <w:t xml:space="preserve">To help ensure patients have access to NERLYNX, Puma has implemented the Puma Patient Lynx support program to assist patients and health care providers with reimbursement support and referrals to resources that can help with financial assistance. More information on the Puma Patient Lynx program can be found at www.NERLYNX.com or </w:t>
      </w:r>
      <w:r w:rsidRPr="0065513F">
        <w:rPr>
          <w:rFonts w:ascii="Times New Roman" w:eastAsia="MS Mincho" w:hAnsi="Times New Roman" w:cs="Times New Roman"/>
          <w:iCs/>
        </w:rPr>
        <w:t>1-855-816-5421.</w:t>
      </w:r>
    </w:p>
    <w:p w14:paraId="2752AB12"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2979A682" w14:textId="77777777" w:rsidR="0065513F" w:rsidRPr="0065513F" w:rsidRDefault="00E10D53" w:rsidP="0065513F">
      <w:pPr>
        <w:widowControl/>
        <w:autoSpaceDE/>
        <w:autoSpaceDN/>
        <w:adjustRightInd/>
        <w:spacing w:after="0" w:line="240" w:lineRule="auto"/>
        <w:jc w:val="both"/>
        <w:rPr>
          <w:rFonts w:ascii="Times New Roman" w:eastAsia="MS Mincho" w:hAnsi="Times New Roman" w:cs="Times New Roman"/>
          <w:iCs/>
        </w:rPr>
      </w:pPr>
      <w:r w:rsidRPr="0065513F">
        <w:rPr>
          <w:rFonts w:ascii="Times New Roman" w:eastAsia="MS Mincho" w:hAnsi="Times New Roman" w:cs="Times New Roman"/>
          <w:iCs/>
        </w:rPr>
        <w:t xml:space="preserve">The recommended dose of NERLYNX is 240 mg (six 40 mg tablets) given orally once daily with food, continuously for one year. Antidiarrheal prophylaxis should be initiated with the first dose of NERLYNX and continued during the first 2 months (56 days) of treatment and as needed thereafter.  </w:t>
      </w:r>
    </w:p>
    <w:p w14:paraId="3AF5A251"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rPr>
      </w:pPr>
      <w:r w:rsidRPr="0065513F">
        <w:rPr>
          <w:rFonts w:ascii="Times New Roman" w:eastAsia="Calibri" w:hAnsi="Times New Roman" w:cs="Times New Roman"/>
        </w:rPr>
        <w:t xml:space="preserve">Further information about Puma Biotechnology can be found at www.pumabiotechnology.com. </w:t>
      </w:r>
    </w:p>
    <w:p w14:paraId="7C60D623"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2A03FF51"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b/>
        </w:rPr>
      </w:pPr>
      <w:r w:rsidRPr="0065513F">
        <w:rPr>
          <w:rFonts w:ascii="Times New Roman" w:eastAsia="Calibri" w:hAnsi="Times New Roman" w:cs="Times New Roman"/>
          <w:b/>
        </w:rPr>
        <w:t>Forward-Looking Statements</w:t>
      </w:r>
    </w:p>
    <w:p w14:paraId="766690FA"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57D4BCC2" w14:textId="77777777" w:rsidR="00C14057" w:rsidRPr="00A55DB4" w:rsidRDefault="00E10D53" w:rsidP="00C14057">
      <w:pPr>
        <w:autoSpaceDE/>
        <w:autoSpaceDN/>
        <w:adjustRightInd/>
        <w:spacing w:after="0" w:line="240" w:lineRule="auto"/>
        <w:jc w:val="both"/>
        <w:rPr>
          <w:rFonts w:ascii="Times New Roman" w:eastAsia="Times New Roman" w:hAnsi="Times New Roman" w:cs="Times New Roman"/>
          <w:lang w:val="en-GB"/>
        </w:rPr>
      </w:pPr>
      <w:bookmarkStart w:id="4" w:name="_GoBack"/>
      <w:r>
        <w:rPr>
          <w:rFonts w:ascii="Times New Roman" w:eastAsia="Times New Roman" w:hAnsi="Times New Roman" w:cs="Times New Roman"/>
          <w:lang w:val="en-GB"/>
        </w:rPr>
        <w:t>This press release contains forward-looking statements, including statements regarding Puma’s anticipated milestones for 2019</w:t>
      </w:r>
      <w:r w:rsidR="004719FE">
        <w:rPr>
          <w:rFonts w:ascii="Times New Roman" w:eastAsia="Times New Roman" w:hAnsi="Times New Roman" w:cs="Times New Roman"/>
          <w:lang w:val="en-GB"/>
        </w:rPr>
        <w:t xml:space="preserve"> and initial estimate of damages to be paid to participants in a class-action lawsuit against Puma</w:t>
      </w:r>
      <w:r>
        <w:rPr>
          <w:rFonts w:ascii="Times New Roman" w:eastAsia="Times New Roman" w:hAnsi="Times New Roman" w:cs="Times New Roman"/>
          <w:lang w:val="en-GB"/>
        </w:rPr>
        <w:t xml:space="preserve">. </w:t>
      </w:r>
      <w:r w:rsidRPr="00A55DB4">
        <w:rPr>
          <w:rFonts w:ascii="Times New Roman" w:hAnsi="Times New Roman" w:cs="Times New Roman"/>
        </w:rPr>
        <w:t xml:space="preserve">All forward-looking statements involve risks and uncertainties that could cause Puma’s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risk factors disclosed in the periodic and current reports filed by Puma with the Securities and Exchange Commission from time to time, including Puma’s Annual Report </w:t>
      </w:r>
      <w:r w:rsidRPr="009660B3">
        <w:rPr>
          <w:rFonts w:ascii="Times New Roman" w:hAnsi="Times New Roman" w:cs="Times New Roman"/>
        </w:rPr>
        <w:t>on Form 10-K for the year ended December 31, 2018. Readers are cautioned not to place undue reliance on thes</w:t>
      </w:r>
      <w:r w:rsidRPr="00A55DB4">
        <w:rPr>
          <w:rFonts w:ascii="Times New Roman" w:hAnsi="Times New Roman" w:cs="Times New Roman"/>
        </w:rPr>
        <w:t>e forward-looking statements, which speak only as of the date hereof. Puma assumes no obligation to update these forward-looking statements, except as required by law.</w:t>
      </w:r>
    </w:p>
    <w:bookmarkEnd w:id="4"/>
    <w:p w14:paraId="175A34B9"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iCs/>
          <w:sz w:val="24"/>
        </w:rPr>
      </w:pPr>
    </w:p>
    <w:p w14:paraId="7AA5534D" w14:textId="77777777" w:rsidR="0065513F" w:rsidRPr="0065513F" w:rsidRDefault="00E10D53" w:rsidP="0065513F">
      <w:pPr>
        <w:widowControl/>
        <w:autoSpaceDE/>
        <w:autoSpaceDN/>
        <w:adjustRightInd/>
        <w:spacing w:after="120" w:line="240" w:lineRule="auto"/>
        <w:jc w:val="both"/>
        <w:outlineLvl w:val="0"/>
        <w:rPr>
          <w:rFonts w:ascii="Times New Roman" w:eastAsia="Calibri" w:hAnsi="Times New Roman" w:cs="Times New Roman"/>
          <w:b/>
          <w:sz w:val="24"/>
        </w:rPr>
      </w:pPr>
      <w:r w:rsidRPr="0065513F">
        <w:rPr>
          <w:rFonts w:ascii="Times New Roman" w:eastAsia="Calibri" w:hAnsi="Times New Roman" w:cs="Times New Roman"/>
          <w:b/>
        </w:rPr>
        <w:t>Contact</w:t>
      </w:r>
    </w:p>
    <w:p w14:paraId="3379B6B9" w14:textId="77777777" w:rsidR="0065513F" w:rsidRPr="0065513F" w:rsidRDefault="00E10D53" w:rsidP="0065513F">
      <w:pPr>
        <w:widowControl/>
        <w:spacing w:after="0" w:line="240" w:lineRule="auto"/>
        <w:jc w:val="both"/>
        <w:rPr>
          <w:rFonts w:ascii="Times New Roman" w:eastAsia="Calibri" w:hAnsi="Times New Roman" w:cs="Times New Roman"/>
          <w:color w:val="000000"/>
        </w:rPr>
      </w:pPr>
      <w:r w:rsidRPr="0065513F">
        <w:rPr>
          <w:rFonts w:ascii="Times New Roman" w:eastAsia="Calibri" w:hAnsi="Times New Roman" w:cs="Times New Roman"/>
          <w:color w:val="000000"/>
        </w:rPr>
        <w:t xml:space="preserve">Alan H. Auerbach or Mariann Ohanesian, Puma Biotechnology, Inc., +1 424 248 6500 </w:t>
      </w:r>
    </w:p>
    <w:p w14:paraId="5F639386" w14:textId="77777777" w:rsidR="0065513F" w:rsidRPr="0065513F" w:rsidRDefault="00E10D53" w:rsidP="0065513F">
      <w:pPr>
        <w:widowControl/>
        <w:spacing w:after="0" w:line="240" w:lineRule="auto"/>
        <w:jc w:val="both"/>
        <w:rPr>
          <w:rFonts w:ascii="Times New Roman" w:eastAsia="Calibri" w:hAnsi="Times New Roman" w:cs="Times New Roman"/>
          <w:color w:val="000000"/>
        </w:rPr>
      </w:pPr>
      <w:r w:rsidRPr="0065513F">
        <w:rPr>
          <w:rFonts w:ascii="Times New Roman" w:eastAsia="Calibri" w:hAnsi="Times New Roman" w:cs="Times New Roman"/>
          <w:color w:val="000000"/>
        </w:rPr>
        <w:t xml:space="preserve">info@pumabiotechnology.com </w:t>
      </w:r>
    </w:p>
    <w:p w14:paraId="0A1F5DFD" w14:textId="77777777" w:rsidR="0065513F" w:rsidRPr="0065513F" w:rsidRDefault="00E10D53" w:rsidP="0065513F">
      <w:pPr>
        <w:widowControl/>
        <w:autoSpaceDE/>
        <w:autoSpaceDN/>
        <w:adjustRightInd/>
        <w:spacing w:after="0" w:line="240" w:lineRule="auto"/>
        <w:jc w:val="both"/>
        <w:rPr>
          <w:rFonts w:ascii="Times New Roman" w:eastAsia="Calibri" w:hAnsi="Times New Roman" w:cs="Times New Roman"/>
        </w:rPr>
      </w:pPr>
      <w:r w:rsidRPr="0065513F">
        <w:rPr>
          <w:rFonts w:ascii="Times New Roman" w:eastAsia="Calibri" w:hAnsi="Times New Roman" w:cs="Times New Roman"/>
        </w:rPr>
        <w:t>ir@pumabiotechnology.com</w:t>
      </w:r>
    </w:p>
    <w:p w14:paraId="7065725F" w14:textId="77777777" w:rsidR="0065513F" w:rsidRPr="0065513F" w:rsidRDefault="00373E5C" w:rsidP="0065513F">
      <w:pPr>
        <w:widowControl/>
        <w:autoSpaceDE/>
        <w:autoSpaceDN/>
        <w:adjustRightInd/>
        <w:spacing w:after="0" w:line="240" w:lineRule="auto"/>
        <w:jc w:val="both"/>
        <w:rPr>
          <w:rFonts w:ascii="Times New Roman" w:eastAsia="Calibri" w:hAnsi="Times New Roman" w:cs="Times New Roman"/>
        </w:rPr>
      </w:pPr>
    </w:p>
    <w:p w14:paraId="7EE1A0F1" w14:textId="77777777" w:rsidR="0065513F" w:rsidRPr="0065513F" w:rsidRDefault="00E10D53" w:rsidP="009660B3">
      <w:pPr>
        <w:widowControl/>
        <w:autoSpaceDE/>
        <w:autoSpaceDN/>
        <w:adjustRightInd/>
        <w:spacing w:after="0" w:line="240" w:lineRule="auto"/>
        <w:rPr>
          <w:rFonts w:ascii="Times New Roman" w:eastAsia="Calibri" w:hAnsi="Times New Roman" w:cs="Times New Roman"/>
        </w:rPr>
      </w:pPr>
      <w:r w:rsidRPr="0065513F">
        <w:rPr>
          <w:rFonts w:ascii="Times New Roman" w:eastAsia="Calibri" w:hAnsi="Times New Roman" w:cs="Times New Roman"/>
        </w:rPr>
        <w:t xml:space="preserve">David Schull or Alex </w:t>
      </w:r>
      <w:proofErr w:type="spellStart"/>
      <w:r w:rsidRPr="0065513F">
        <w:rPr>
          <w:rFonts w:ascii="Times New Roman" w:eastAsia="Calibri" w:hAnsi="Times New Roman" w:cs="Times New Roman"/>
        </w:rPr>
        <w:t>Fudukidis</w:t>
      </w:r>
      <w:proofErr w:type="spellEnd"/>
      <w:r w:rsidRPr="0065513F">
        <w:rPr>
          <w:rFonts w:ascii="Times New Roman" w:eastAsia="Calibri" w:hAnsi="Times New Roman" w:cs="Times New Roman"/>
        </w:rPr>
        <w:t>, Russo Partners, +1-212-845-4271</w:t>
      </w:r>
      <w:r w:rsidRPr="0065513F">
        <w:rPr>
          <w:rFonts w:ascii="Times New Roman" w:eastAsia="Calibri" w:hAnsi="Times New Roman" w:cs="Times New Roman"/>
        </w:rPr>
        <w:br/>
        <w:t>david.schull@russopartnersllc.com</w:t>
      </w:r>
    </w:p>
    <w:p w14:paraId="30E83643" w14:textId="77777777" w:rsidR="0065513F" w:rsidRPr="0065513F" w:rsidRDefault="00E10D53" w:rsidP="009660B3">
      <w:pPr>
        <w:widowControl/>
        <w:autoSpaceDE/>
        <w:autoSpaceDN/>
        <w:adjustRightInd/>
        <w:spacing w:after="0" w:line="240" w:lineRule="auto"/>
        <w:rPr>
          <w:rFonts w:ascii="Times New Roman" w:eastAsia="Calibri" w:hAnsi="Times New Roman" w:cs="Times New Roman"/>
        </w:rPr>
      </w:pPr>
      <w:r w:rsidRPr="0065513F">
        <w:rPr>
          <w:rFonts w:ascii="Times New Roman" w:eastAsia="Calibri" w:hAnsi="Times New Roman" w:cs="Times New Roman"/>
        </w:rPr>
        <w:t>alex.fudukidis@russopartnersllc.com</w:t>
      </w:r>
    </w:p>
    <w:p w14:paraId="577673CB" w14:textId="77777777" w:rsidR="0065513F" w:rsidRPr="0065513F" w:rsidRDefault="00373E5C" w:rsidP="0065513F">
      <w:pPr>
        <w:widowControl/>
        <w:autoSpaceDE/>
        <w:autoSpaceDN/>
        <w:adjustRightInd/>
        <w:spacing w:after="0" w:line="240" w:lineRule="auto"/>
        <w:rPr>
          <w:rFonts w:ascii="Times New Roman" w:eastAsia="Times New Roman" w:hAnsi="Times New Roman" w:cs="Times New Roman"/>
          <w:noProof/>
        </w:rPr>
      </w:pPr>
    </w:p>
    <w:p w14:paraId="76450936" w14:textId="77777777" w:rsidR="0065513F" w:rsidRPr="0065513F" w:rsidRDefault="00E10D53" w:rsidP="0065513F">
      <w:pPr>
        <w:widowControl/>
        <w:spacing w:after="120" w:line="300" w:lineRule="exact"/>
        <w:jc w:val="center"/>
        <w:rPr>
          <w:rFonts w:ascii="Times New Roman" w:eastAsia="Calibri" w:hAnsi="Times New Roman" w:cs="Times New Roman"/>
          <w:color w:val="000000"/>
          <w:sz w:val="24"/>
          <w:szCs w:val="24"/>
        </w:rPr>
      </w:pPr>
      <w:r w:rsidRPr="0065513F">
        <w:rPr>
          <w:rFonts w:ascii="Times New Roman" w:eastAsia="Calibri" w:hAnsi="Times New Roman" w:cs="Times New Roman"/>
          <w:color w:val="000000"/>
          <w:sz w:val="24"/>
          <w:szCs w:val="24"/>
        </w:rPr>
        <w:t># # # # #</w:t>
      </w:r>
    </w:p>
    <w:p w14:paraId="517F4DFC" w14:textId="77777777" w:rsidR="00885F77" w:rsidRDefault="00373E5C" w:rsidP="00885F77">
      <w:pPr>
        <w:autoSpaceDE/>
        <w:autoSpaceDN/>
        <w:adjustRightInd/>
        <w:spacing w:after="60" w:line="240" w:lineRule="auto"/>
        <w:ind w:right="1085"/>
        <w:jc w:val="center"/>
        <w:rPr>
          <w:rFonts w:ascii="Times New Roman" w:eastAsia="Times New Roman" w:hAnsi="Times New Roman" w:cs="Times New Roman"/>
          <w:b/>
          <w:sz w:val="16"/>
          <w:szCs w:val="24"/>
        </w:rPr>
      </w:pPr>
    </w:p>
    <w:p w14:paraId="1BDF8FA5" w14:textId="77777777" w:rsidR="00BF10D7" w:rsidRDefault="00E10D53" w:rsidP="009077F1">
      <w:pPr>
        <w:autoSpaceDE/>
        <w:autoSpaceDN/>
        <w:adjustRightInd/>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14:paraId="6A967146" w14:textId="77777777" w:rsidR="00BF10D7" w:rsidRDefault="00E10D53">
      <w:pPr>
        <w:widowControl/>
        <w:autoSpaceDE/>
        <w:autoSpaceDN/>
        <w:adjustRightInd/>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br w:type="page"/>
      </w:r>
    </w:p>
    <w:p w14:paraId="28847D72" w14:textId="77777777" w:rsidR="00B2198E" w:rsidRDefault="002C57C7" w:rsidP="00B2198E">
      <w:pPr>
        <w:autoSpaceDE/>
        <w:autoSpaceDN/>
        <w:adjustRightInd/>
        <w:spacing w:after="0" w:line="240" w:lineRule="auto"/>
        <w:ind w:left="100" w:right="-20"/>
        <w:jc w:val="center"/>
        <w:rPr>
          <w:rFonts w:ascii="Times New Roman" w:eastAsia="Times New Roman" w:hAnsi="Times New Roman" w:cs="Times New Roman"/>
          <w:b/>
          <w:szCs w:val="24"/>
        </w:rPr>
      </w:pPr>
      <w:r w:rsidRPr="002C57C7">
        <w:rPr>
          <w:noProof/>
        </w:rPr>
        <w:lastRenderedPageBreak/>
        <w:drawing>
          <wp:inline distT="0" distB="0" distL="0" distR="0" wp14:anchorId="029DD315" wp14:editId="7BB771B7">
            <wp:extent cx="6309360" cy="709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7093875"/>
                    </a:xfrm>
                    <a:prstGeom prst="rect">
                      <a:avLst/>
                    </a:prstGeom>
                    <a:noFill/>
                    <a:ln>
                      <a:noFill/>
                    </a:ln>
                  </pic:spPr>
                </pic:pic>
              </a:graphicData>
            </a:graphic>
          </wp:inline>
        </w:drawing>
      </w:r>
    </w:p>
    <w:p w14:paraId="7DCD5148" w14:textId="77777777" w:rsidR="00273D49" w:rsidRDefault="00E10D53">
      <w:pPr>
        <w:widowControl/>
        <w:autoSpaceDE/>
        <w:autoSpaceDN/>
        <w:adjustRightInd/>
        <w:spacing w:after="0" w:line="240" w:lineRule="auto"/>
        <w:rPr>
          <w:rFonts w:ascii="Times New Roman" w:eastAsia="Times New Roman" w:hAnsi="Times New Roman" w:cs="Times New Roman"/>
          <w:b/>
        </w:rPr>
      </w:pPr>
      <w:r>
        <w:rPr>
          <w:rFonts w:ascii="Times New Roman" w:eastAsia="Times New Roman" w:hAnsi="Times New Roman" w:cs="Times New Roman"/>
          <w:b/>
        </w:rPr>
        <w:br w:type="page"/>
      </w:r>
    </w:p>
    <w:p w14:paraId="48B43350" w14:textId="77777777" w:rsidR="00352C70" w:rsidRDefault="00373E5C">
      <w:pPr>
        <w:widowControl/>
        <w:autoSpaceDE/>
        <w:autoSpaceDN/>
        <w:adjustRightInd/>
        <w:spacing w:after="0" w:line="240" w:lineRule="auto"/>
        <w:rPr>
          <w:rFonts w:ascii="Times New Roman" w:eastAsia="Times New Roman" w:hAnsi="Times New Roman" w:cs="Times New Roman"/>
          <w:b/>
        </w:rPr>
      </w:pPr>
    </w:p>
    <w:p w14:paraId="44215D27" w14:textId="77777777" w:rsidR="005022CD" w:rsidRPr="001F1EBB" w:rsidRDefault="00E10D53" w:rsidP="005022CD">
      <w:pPr>
        <w:autoSpaceDE/>
        <w:autoSpaceDN/>
        <w:adjustRightInd/>
        <w:spacing w:after="0" w:line="240" w:lineRule="auto"/>
        <w:ind w:right="-20"/>
        <w:rPr>
          <w:rFonts w:ascii="Times New Roman" w:eastAsia="Times New Roman" w:hAnsi="Times New Roman" w:cs="Times New Roman"/>
          <w:b/>
          <w:sz w:val="20"/>
          <w:szCs w:val="20"/>
        </w:rPr>
      </w:pPr>
      <w:r w:rsidRPr="001F1EBB">
        <w:rPr>
          <w:rFonts w:ascii="Times New Roman" w:eastAsia="Times New Roman" w:hAnsi="Times New Roman" w:cs="Times New Roman"/>
          <w:b/>
          <w:sz w:val="20"/>
          <w:szCs w:val="20"/>
        </w:rPr>
        <w:t>Non-GAAP Financial Measures</w:t>
      </w:r>
    </w:p>
    <w:p w14:paraId="4EFF79E2" w14:textId="77777777" w:rsidR="005022CD" w:rsidRPr="001F1EBB" w:rsidRDefault="00373E5C" w:rsidP="005022CD">
      <w:pPr>
        <w:widowControl/>
        <w:autoSpaceDE/>
        <w:autoSpaceDN/>
        <w:adjustRightInd/>
        <w:spacing w:after="0" w:line="240" w:lineRule="auto"/>
        <w:rPr>
          <w:rFonts w:ascii="Times New Roman" w:eastAsia="Times New Roman" w:hAnsi="Times New Roman" w:cs="Times New Roman"/>
          <w:b/>
          <w:sz w:val="20"/>
          <w:szCs w:val="20"/>
        </w:rPr>
      </w:pPr>
    </w:p>
    <w:p w14:paraId="39F3AF57" w14:textId="77777777" w:rsidR="00C15B66" w:rsidRDefault="00E10D53" w:rsidP="00EC7343">
      <w:pPr>
        <w:widowControl/>
        <w:spacing w:after="0" w:line="240" w:lineRule="auto"/>
        <w:jc w:val="both"/>
        <w:rPr>
          <w:rFonts w:ascii="Times New Roman" w:eastAsia="Times New Roman" w:hAnsi="Times New Roman" w:cs="Times New Roman"/>
          <w:sz w:val="20"/>
          <w:szCs w:val="20"/>
        </w:rPr>
      </w:pPr>
      <w:r w:rsidRPr="001F1EBB">
        <w:rPr>
          <w:rFonts w:ascii="Times New Roman" w:hAnsi="Times New Roman" w:cs="Times New Roman"/>
          <w:sz w:val="20"/>
          <w:szCs w:val="20"/>
        </w:rPr>
        <w:t xml:space="preserve">In addition to operating results as calculated in accordance with GAAP, </w:t>
      </w:r>
      <w:r>
        <w:rPr>
          <w:rFonts w:ascii="Times New Roman" w:hAnsi="Times New Roman" w:cs="Times New Roman"/>
          <w:sz w:val="20"/>
          <w:szCs w:val="20"/>
        </w:rPr>
        <w:t>Puma</w:t>
      </w:r>
      <w:r w:rsidRPr="001F1EBB">
        <w:rPr>
          <w:rFonts w:ascii="Times New Roman" w:hAnsi="Times New Roman" w:cs="Times New Roman"/>
          <w:sz w:val="20"/>
          <w:szCs w:val="20"/>
        </w:rPr>
        <w:t xml:space="preserve"> uses certain non-GAAP financial measures when planning, monitoring, and evaluating operational performance. The following table presents </w:t>
      </w:r>
      <w:r>
        <w:rPr>
          <w:rFonts w:ascii="Times New Roman" w:hAnsi="Times New Roman" w:cs="Times New Roman"/>
          <w:sz w:val="20"/>
          <w:szCs w:val="20"/>
        </w:rPr>
        <w:t>Puma</w:t>
      </w:r>
      <w:r w:rsidRPr="001F1EBB">
        <w:rPr>
          <w:rFonts w:ascii="Times New Roman" w:hAnsi="Times New Roman" w:cs="Times New Roman"/>
          <w:sz w:val="20"/>
          <w:szCs w:val="20"/>
        </w:rPr>
        <w:t>’s net loss and net loss per share calculated in accordance with GAAP</w:t>
      </w:r>
      <w:r>
        <w:rPr>
          <w:rFonts w:ascii="Times New Roman" w:hAnsi="Times New Roman" w:cs="Times New Roman"/>
          <w:sz w:val="20"/>
          <w:szCs w:val="20"/>
        </w:rPr>
        <w:t>,</w:t>
      </w:r>
      <w:r w:rsidRPr="001F1EBB">
        <w:rPr>
          <w:rFonts w:ascii="Times New Roman" w:hAnsi="Times New Roman" w:cs="Times New Roman"/>
          <w:sz w:val="20"/>
          <w:szCs w:val="20"/>
        </w:rPr>
        <w:t xml:space="preserve"> and as adjusted to remove the impact of employee stock-based compensation. For the three and twelve months ended December 31, </w:t>
      </w:r>
      <w:r>
        <w:rPr>
          <w:rFonts w:ascii="Times New Roman" w:hAnsi="Times New Roman" w:cs="Times New Roman"/>
          <w:sz w:val="20"/>
          <w:szCs w:val="20"/>
        </w:rPr>
        <w:t>2018</w:t>
      </w:r>
      <w:r w:rsidRPr="001F1EBB">
        <w:rPr>
          <w:rFonts w:ascii="Times New Roman" w:hAnsi="Times New Roman" w:cs="Times New Roman"/>
          <w:sz w:val="20"/>
          <w:szCs w:val="20"/>
        </w:rPr>
        <w:t xml:space="preserve">, stock-based compensation represented approximately </w:t>
      </w:r>
      <w:r w:rsidR="00EB4AE3">
        <w:rPr>
          <w:rFonts w:ascii="Times New Roman" w:hAnsi="Times New Roman" w:cs="Times New Roman"/>
          <w:sz w:val="20"/>
          <w:szCs w:val="20"/>
        </w:rPr>
        <w:t>60.3</w:t>
      </w:r>
      <w:r w:rsidRPr="001F1EBB">
        <w:rPr>
          <w:rFonts w:ascii="Times New Roman" w:hAnsi="Times New Roman" w:cs="Times New Roman"/>
          <w:sz w:val="20"/>
          <w:szCs w:val="20"/>
        </w:rPr>
        <w:t xml:space="preserve">% and </w:t>
      </w:r>
      <w:r w:rsidR="00EB4AE3">
        <w:rPr>
          <w:rFonts w:ascii="Times New Roman" w:hAnsi="Times New Roman" w:cs="Times New Roman"/>
          <w:sz w:val="20"/>
          <w:szCs w:val="20"/>
        </w:rPr>
        <w:t>76.5</w:t>
      </w:r>
      <w:r w:rsidRPr="001F1EBB">
        <w:rPr>
          <w:rFonts w:ascii="Times New Roman" w:hAnsi="Times New Roman" w:cs="Times New Roman"/>
          <w:sz w:val="20"/>
          <w:szCs w:val="20"/>
        </w:rPr>
        <w:t xml:space="preserve">% of net loss, respectively. </w:t>
      </w:r>
      <w:r>
        <w:rPr>
          <w:rFonts w:ascii="Times New Roman" w:hAnsi="Times New Roman" w:cs="Times New Roman"/>
          <w:sz w:val="20"/>
          <w:szCs w:val="20"/>
        </w:rPr>
        <w:t xml:space="preserve">Puma’s management believes that these non-GAAP financial measures are useful to enhance understanding of Puma’s financial performance, are more indicative of its operational performance and facilitate a better comparison among fiscal periods. </w:t>
      </w:r>
      <w:r w:rsidRPr="001F1EBB">
        <w:rPr>
          <w:rFonts w:ascii="Times New Roman" w:hAnsi="Times New Roman" w:cs="Times New Roman"/>
          <w:sz w:val="20"/>
          <w:szCs w:val="20"/>
        </w:rPr>
        <w:t>These non-GAAP financial measures are not, and should not be viewed as, substitutes for GAAP reporting measures.</w:t>
      </w:r>
      <w:r w:rsidRPr="001F1EBB">
        <w:rPr>
          <w:rFonts w:ascii="Times New Roman" w:eastAsia="Times New Roman" w:hAnsi="Times New Roman" w:cs="Times New Roman"/>
          <w:sz w:val="20"/>
          <w:szCs w:val="20"/>
        </w:rPr>
        <w:t xml:space="preserve"> </w:t>
      </w:r>
    </w:p>
    <w:p w14:paraId="39AFD439" w14:textId="77777777" w:rsidR="005A612D" w:rsidRDefault="005A612D" w:rsidP="00EC7343">
      <w:pPr>
        <w:widowControl/>
        <w:spacing w:after="0" w:line="240" w:lineRule="auto"/>
        <w:jc w:val="both"/>
        <w:rPr>
          <w:rFonts w:ascii="Times New Roman" w:eastAsia="Times New Roman" w:hAnsi="Times New Roman" w:cs="Times New Roman"/>
          <w:sz w:val="20"/>
          <w:szCs w:val="20"/>
        </w:rPr>
      </w:pPr>
    </w:p>
    <w:p w14:paraId="42717F99" w14:textId="3DA644C8" w:rsidR="004D28B7" w:rsidRDefault="00462325" w:rsidP="00AA6FA0">
      <w:pPr>
        <w:widowControl/>
        <w:spacing w:after="0" w:line="240" w:lineRule="auto"/>
        <w:jc w:val="center"/>
        <w:rPr>
          <w:rFonts w:ascii="Times New Roman" w:eastAsia="Times New Roman" w:hAnsi="Times New Roman" w:cs="Times New Roman"/>
          <w:sz w:val="20"/>
          <w:szCs w:val="20"/>
        </w:rPr>
      </w:pPr>
      <w:r w:rsidRPr="00462325">
        <w:rPr>
          <w:noProof/>
        </w:rPr>
        <w:drawing>
          <wp:inline distT="0" distB="0" distL="0" distR="0" wp14:anchorId="6FD8132F" wp14:editId="5FFEB5C5">
            <wp:extent cx="5587202" cy="6568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7202" cy="6568745"/>
                    </a:xfrm>
                    <a:prstGeom prst="rect">
                      <a:avLst/>
                    </a:prstGeom>
                    <a:noFill/>
                    <a:ln>
                      <a:noFill/>
                    </a:ln>
                  </pic:spPr>
                </pic:pic>
              </a:graphicData>
            </a:graphic>
          </wp:inline>
        </w:drawing>
      </w:r>
    </w:p>
    <w:sectPr w:rsidR="004D28B7" w:rsidSect="00C15B66">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230"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0D15" w14:textId="77777777" w:rsidR="00373E5C" w:rsidRDefault="00373E5C">
      <w:pPr>
        <w:spacing w:after="0" w:line="240" w:lineRule="auto"/>
      </w:pPr>
      <w:r>
        <w:separator/>
      </w:r>
    </w:p>
  </w:endnote>
  <w:endnote w:type="continuationSeparator" w:id="0">
    <w:p w14:paraId="4F477AD9" w14:textId="77777777" w:rsidR="00373E5C" w:rsidRDefault="0037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0BAF" w14:textId="77777777" w:rsidR="004074BA" w:rsidRDefault="004074BA">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D4B0" w14:textId="7D3A7C0A" w:rsidR="004222A7" w:rsidRDefault="004222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0A92" w14:textId="77777777" w:rsidR="00B2198E" w:rsidRDefault="00E10D53">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A424B" w14:textId="77777777" w:rsidR="00373E5C" w:rsidRDefault="00373E5C">
      <w:pPr>
        <w:spacing w:after="0" w:line="240" w:lineRule="auto"/>
      </w:pPr>
      <w:r>
        <w:separator/>
      </w:r>
    </w:p>
  </w:footnote>
  <w:footnote w:type="continuationSeparator" w:id="0">
    <w:p w14:paraId="68CC4034" w14:textId="77777777" w:rsidR="00373E5C" w:rsidRDefault="00373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77DF" w14:textId="77777777" w:rsidR="004074BA" w:rsidRDefault="004074BA">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3522" w14:textId="77777777" w:rsidR="00B2198E" w:rsidRDefault="00E10D53">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3E27" w14:textId="77777777" w:rsidR="00B2198E" w:rsidRDefault="00E10D53">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93533B"/>
    <w:multiLevelType w:val="hybridMultilevel"/>
    <w:tmpl w:val="75A8467E"/>
    <w:lvl w:ilvl="0" w:tplc="CF3016C4">
      <w:start w:val="1"/>
      <w:numFmt w:val="bullet"/>
      <w:lvlText w:val="•"/>
      <w:lvlJc w:val="left"/>
      <w:pPr>
        <w:tabs>
          <w:tab w:val="left" w:pos="720"/>
        </w:tabs>
        <w:ind w:left="720" w:hanging="360"/>
      </w:pPr>
      <w:rPr>
        <w:rFonts w:ascii="Arial" w:hAnsi="Arial"/>
        <w:strike w:val="0"/>
        <w:dstrike w:val="0"/>
      </w:rPr>
    </w:lvl>
    <w:lvl w:ilvl="1" w:tplc="C24A1408">
      <w:start w:val="1"/>
      <w:numFmt w:val="bullet"/>
      <w:lvlText w:val="•"/>
      <w:lvlJc w:val="left"/>
      <w:pPr>
        <w:tabs>
          <w:tab w:val="left" w:pos="1440"/>
        </w:tabs>
        <w:ind w:left="1440" w:hanging="360"/>
      </w:pPr>
      <w:rPr>
        <w:rFonts w:ascii="Arial" w:hAnsi="Arial"/>
        <w:strike w:val="0"/>
        <w:dstrike w:val="0"/>
      </w:rPr>
    </w:lvl>
    <w:lvl w:ilvl="2" w:tplc="EFA663FC">
      <w:start w:val="1"/>
      <w:numFmt w:val="bullet"/>
      <w:lvlText w:val="•"/>
      <w:lvlJc w:val="left"/>
      <w:pPr>
        <w:tabs>
          <w:tab w:val="left" w:pos="2160"/>
        </w:tabs>
        <w:ind w:left="2160" w:hanging="360"/>
      </w:pPr>
      <w:rPr>
        <w:rFonts w:ascii="Arial" w:hAnsi="Arial"/>
        <w:strike w:val="0"/>
        <w:dstrike w:val="0"/>
      </w:rPr>
    </w:lvl>
    <w:lvl w:ilvl="3" w:tplc="3C9EFF18">
      <w:start w:val="1"/>
      <w:numFmt w:val="bullet"/>
      <w:lvlText w:val="•"/>
      <w:lvlJc w:val="left"/>
      <w:pPr>
        <w:tabs>
          <w:tab w:val="left" w:pos="2880"/>
        </w:tabs>
        <w:ind w:left="2880" w:hanging="360"/>
      </w:pPr>
      <w:rPr>
        <w:rFonts w:ascii="Arial" w:hAnsi="Arial"/>
        <w:strike w:val="0"/>
        <w:dstrike w:val="0"/>
      </w:rPr>
    </w:lvl>
    <w:lvl w:ilvl="4" w:tplc="F7981B26">
      <w:start w:val="1"/>
      <w:numFmt w:val="bullet"/>
      <w:lvlText w:val="•"/>
      <w:lvlJc w:val="left"/>
      <w:pPr>
        <w:tabs>
          <w:tab w:val="left" w:pos="3600"/>
        </w:tabs>
        <w:ind w:left="3600" w:hanging="360"/>
      </w:pPr>
      <w:rPr>
        <w:rFonts w:ascii="Arial" w:hAnsi="Arial"/>
        <w:strike w:val="0"/>
        <w:dstrike w:val="0"/>
      </w:rPr>
    </w:lvl>
    <w:lvl w:ilvl="5" w:tplc="D748A4E2">
      <w:start w:val="1"/>
      <w:numFmt w:val="bullet"/>
      <w:lvlText w:val="•"/>
      <w:lvlJc w:val="left"/>
      <w:pPr>
        <w:tabs>
          <w:tab w:val="left" w:pos="4320"/>
        </w:tabs>
        <w:ind w:left="4320" w:hanging="360"/>
      </w:pPr>
      <w:rPr>
        <w:rFonts w:ascii="Arial" w:hAnsi="Arial"/>
        <w:strike w:val="0"/>
        <w:dstrike w:val="0"/>
      </w:rPr>
    </w:lvl>
    <w:lvl w:ilvl="6" w:tplc="07824C78">
      <w:start w:val="1"/>
      <w:numFmt w:val="bullet"/>
      <w:lvlText w:val="•"/>
      <w:lvlJc w:val="left"/>
      <w:pPr>
        <w:tabs>
          <w:tab w:val="left" w:pos="5040"/>
        </w:tabs>
        <w:ind w:left="5040" w:hanging="360"/>
      </w:pPr>
      <w:rPr>
        <w:rFonts w:ascii="Arial" w:hAnsi="Arial"/>
        <w:strike w:val="0"/>
        <w:dstrike w:val="0"/>
      </w:rPr>
    </w:lvl>
    <w:lvl w:ilvl="7" w:tplc="0D96AE30">
      <w:start w:val="1"/>
      <w:numFmt w:val="bullet"/>
      <w:lvlText w:val="•"/>
      <w:lvlJc w:val="left"/>
      <w:pPr>
        <w:tabs>
          <w:tab w:val="left" w:pos="5760"/>
        </w:tabs>
        <w:ind w:left="5760" w:hanging="360"/>
      </w:pPr>
      <w:rPr>
        <w:rFonts w:ascii="Arial" w:hAnsi="Arial"/>
        <w:strike w:val="0"/>
        <w:dstrike w:val="0"/>
      </w:rPr>
    </w:lvl>
    <w:lvl w:ilvl="8" w:tplc="1A966A64">
      <w:start w:val="1"/>
      <w:numFmt w:val="bullet"/>
      <w:lvlText w:val="•"/>
      <w:lvlJc w:val="left"/>
      <w:pPr>
        <w:tabs>
          <w:tab w:val="left" w:pos="6480"/>
        </w:tabs>
        <w:ind w:left="6480" w:hanging="360"/>
      </w:pPr>
      <w:rPr>
        <w:rFonts w:ascii="Arial" w:hAnsi="Arial"/>
        <w:strike w:val="0"/>
        <w:dstrike w:val="0"/>
      </w:rPr>
    </w:lvl>
  </w:abstractNum>
  <w:abstractNum w:abstractNumId="2" w15:restartNumberingAfterBreak="0">
    <w:nsid w:val="36B463BD"/>
    <w:multiLevelType w:val="hybridMultilevel"/>
    <w:tmpl w:val="6F3269A2"/>
    <w:lvl w:ilvl="0" w:tplc="061A843C">
      <w:start w:val="1"/>
      <w:numFmt w:val="bullet"/>
      <w:lvlText w:val=""/>
      <w:lvlJc w:val="left"/>
      <w:pPr>
        <w:ind w:left="720" w:hanging="360"/>
      </w:pPr>
      <w:rPr>
        <w:rFonts w:ascii="Symbol" w:hAnsi="Symbol" w:hint="default"/>
      </w:rPr>
    </w:lvl>
    <w:lvl w:ilvl="1" w:tplc="9A88CB46" w:tentative="1">
      <w:start w:val="1"/>
      <w:numFmt w:val="lowerLetter"/>
      <w:lvlText w:val="%2."/>
      <w:lvlJc w:val="left"/>
      <w:pPr>
        <w:ind w:left="1440" w:hanging="360"/>
      </w:pPr>
    </w:lvl>
    <w:lvl w:ilvl="2" w:tplc="B15A7E12" w:tentative="1">
      <w:start w:val="1"/>
      <w:numFmt w:val="lowerRoman"/>
      <w:lvlText w:val="%3."/>
      <w:lvlJc w:val="right"/>
      <w:pPr>
        <w:ind w:left="2160" w:hanging="180"/>
      </w:pPr>
    </w:lvl>
    <w:lvl w:ilvl="3" w:tplc="FEB86904" w:tentative="1">
      <w:start w:val="1"/>
      <w:numFmt w:val="decimal"/>
      <w:lvlText w:val="%4."/>
      <w:lvlJc w:val="left"/>
      <w:pPr>
        <w:ind w:left="2880" w:hanging="360"/>
      </w:pPr>
    </w:lvl>
    <w:lvl w:ilvl="4" w:tplc="386CE0B4" w:tentative="1">
      <w:start w:val="1"/>
      <w:numFmt w:val="lowerLetter"/>
      <w:lvlText w:val="%5."/>
      <w:lvlJc w:val="left"/>
      <w:pPr>
        <w:ind w:left="3600" w:hanging="360"/>
      </w:pPr>
    </w:lvl>
    <w:lvl w:ilvl="5" w:tplc="09ECF7BE" w:tentative="1">
      <w:start w:val="1"/>
      <w:numFmt w:val="lowerRoman"/>
      <w:lvlText w:val="%6."/>
      <w:lvlJc w:val="right"/>
      <w:pPr>
        <w:ind w:left="4320" w:hanging="180"/>
      </w:pPr>
    </w:lvl>
    <w:lvl w:ilvl="6" w:tplc="BE240F4C" w:tentative="1">
      <w:start w:val="1"/>
      <w:numFmt w:val="decimal"/>
      <w:lvlText w:val="%7."/>
      <w:lvlJc w:val="left"/>
      <w:pPr>
        <w:ind w:left="5040" w:hanging="360"/>
      </w:pPr>
    </w:lvl>
    <w:lvl w:ilvl="7" w:tplc="18C24886" w:tentative="1">
      <w:start w:val="1"/>
      <w:numFmt w:val="lowerLetter"/>
      <w:lvlText w:val="%8."/>
      <w:lvlJc w:val="left"/>
      <w:pPr>
        <w:ind w:left="5760" w:hanging="360"/>
      </w:pPr>
    </w:lvl>
    <w:lvl w:ilvl="8" w:tplc="A3766E94" w:tentative="1">
      <w:start w:val="1"/>
      <w:numFmt w:val="lowerRoman"/>
      <w:lvlText w:val="%9."/>
      <w:lvlJc w:val="right"/>
      <w:pPr>
        <w:ind w:left="6480" w:hanging="180"/>
      </w:pPr>
    </w:lvl>
  </w:abstractNum>
  <w:abstractNum w:abstractNumId="3" w15:restartNumberingAfterBreak="0">
    <w:nsid w:val="418670C9"/>
    <w:multiLevelType w:val="hybridMultilevel"/>
    <w:tmpl w:val="E4A66DF0"/>
    <w:lvl w:ilvl="0" w:tplc="FE3E1FB0">
      <w:start w:val="1"/>
      <w:numFmt w:val="bullet"/>
      <w:lvlText w:val=""/>
      <w:lvlJc w:val="left"/>
      <w:pPr>
        <w:ind w:left="720" w:hanging="360"/>
      </w:pPr>
      <w:rPr>
        <w:rFonts w:ascii="Symbol" w:hAnsi="Symbol" w:hint="default"/>
      </w:rPr>
    </w:lvl>
    <w:lvl w:ilvl="1" w:tplc="01E06584">
      <w:start w:val="1"/>
      <w:numFmt w:val="bullet"/>
      <w:lvlText w:val="o"/>
      <w:lvlJc w:val="left"/>
      <w:pPr>
        <w:ind w:left="1440" w:hanging="360"/>
      </w:pPr>
      <w:rPr>
        <w:rFonts w:ascii="Courier New" w:hAnsi="Courier New" w:cs="Courier New" w:hint="default"/>
      </w:rPr>
    </w:lvl>
    <w:lvl w:ilvl="2" w:tplc="18528172">
      <w:start w:val="1"/>
      <w:numFmt w:val="bullet"/>
      <w:lvlText w:val=""/>
      <w:lvlJc w:val="left"/>
      <w:pPr>
        <w:ind w:left="2160" w:hanging="360"/>
      </w:pPr>
      <w:rPr>
        <w:rFonts w:ascii="Wingdings" w:hAnsi="Wingdings" w:hint="default"/>
      </w:rPr>
    </w:lvl>
    <w:lvl w:ilvl="3" w:tplc="5D9EEE76">
      <w:start w:val="1"/>
      <w:numFmt w:val="bullet"/>
      <w:lvlText w:val=""/>
      <w:lvlJc w:val="left"/>
      <w:pPr>
        <w:ind w:left="2880" w:hanging="360"/>
      </w:pPr>
      <w:rPr>
        <w:rFonts w:ascii="Symbol" w:hAnsi="Symbol" w:hint="default"/>
      </w:rPr>
    </w:lvl>
    <w:lvl w:ilvl="4" w:tplc="AF76EBB2">
      <w:start w:val="1"/>
      <w:numFmt w:val="bullet"/>
      <w:lvlText w:val="o"/>
      <w:lvlJc w:val="left"/>
      <w:pPr>
        <w:ind w:left="3600" w:hanging="360"/>
      </w:pPr>
      <w:rPr>
        <w:rFonts w:ascii="Courier New" w:hAnsi="Courier New" w:cs="Courier New" w:hint="default"/>
      </w:rPr>
    </w:lvl>
    <w:lvl w:ilvl="5" w:tplc="D14017AC">
      <w:start w:val="1"/>
      <w:numFmt w:val="bullet"/>
      <w:lvlText w:val=""/>
      <w:lvlJc w:val="left"/>
      <w:pPr>
        <w:ind w:left="4320" w:hanging="360"/>
      </w:pPr>
      <w:rPr>
        <w:rFonts w:ascii="Wingdings" w:hAnsi="Wingdings" w:hint="default"/>
      </w:rPr>
    </w:lvl>
    <w:lvl w:ilvl="6" w:tplc="7E983430">
      <w:start w:val="1"/>
      <w:numFmt w:val="bullet"/>
      <w:lvlText w:val=""/>
      <w:lvlJc w:val="left"/>
      <w:pPr>
        <w:ind w:left="5040" w:hanging="360"/>
      </w:pPr>
      <w:rPr>
        <w:rFonts w:ascii="Symbol" w:hAnsi="Symbol" w:hint="default"/>
      </w:rPr>
    </w:lvl>
    <w:lvl w:ilvl="7" w:tplc="760E630C">
      <w:start w:val="1"/>
      <w:numFmt w:val="bullet"/>
      <w:lvlText w:val="o"/>
      <w:lvlJc w:val="left"/>
      <w:pPr>
        <w:ind w:left="5760" w:hanging="360"/>
      </w:pPr>
      <w:rPr>
        <w:rFonts w:ascii="Courier New" w:hAnsi="Courier New" w:cs="Courier New" w:hint="default"/>
      </w:rPr>
    </w:lvl>
    <w:lvl w:ilvl="8" w:tplc="2C121B5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oNotTrackFormatting/>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eckedForWebBugs" w:val="True"/>
    <w:docVar w:name="trailer" w:val="draft"/>
    <w:docVar w:name="TrailerFullName" w:val="C:\Users\fcapurro\Local Data\NRPortbl\US-DOCS\FCAPURRO\105817933_5.docx"/>
    <w:docVar w:name="TrailerNumber" w:val="US-DOCS!105817933.5"/>
    <w:docVar w:name="TrlrDateFlag" w:val="0"/>
    <w:docVar w:name="TrlrDocTitleFlag" w:val="0"/>
    <w:docVar w:name="TrlrDOSFlag" w:val="0"/>
    <w:docVar w:name="TrlrDOSPathFlag" w:val="0"/>
    <w:docVar w:name="TrlrDraftFlag" w:val="0"/>
    <w:docVar w:name="TrlrFirstPageFlag" w:val="0"/>
    <w:docVar w:name="TrlrMatter" w:val="048623-2017"/>
    <w:docVar w:name="TrlrMatterFlag" w:val="0"/>
    <w:docVar w:name="TrlrRedlineFlag" w:val="0"/>
    <w:docVar w:name="TrlrTimeFlag" w:val="0"/>
    <w:docVar w:name="TrlrTypeFlag" w:val="1"/>
  </w:docVars>
  <w:rsids>
    <w:rsidRoot w:val="00A37FB0"/>
    <w:rsid w:val="0004348C"/>
    <w:rsid w:val="00173986"/>
    <w:rsid w:val="00177791"/>
    <w:rsid w:val="002774EB"/>
    <w:rsid w:val="002C1760"/>
    <w:rsid w:val="002C57C7"/>
    <w:rsid w:val="00360D27"/>
    <w:rsid w:val="00373E5C"/>
    <w:rsid w:val="003C5826"/>
    <w:rsid w:val="003F0656"/>
    <w:rsid w:val="004074BA"/>
    <w:rsid w:val="004222A7"/>
    <w:rsid w:val="00437CA1"/>
    <w:rsid w:val="00443CF0"/>
    <w:rsid w:val="00462325"/>
    <w:rsid w:val="004719FE"/>
    <w:rsid w:val="00481986"/>
    <w:rsid w:val="004A754D"/>
    <w:rsid w:val="00574211"/>
    <w:rsid w:val="005A612D"/>
    <w:rsid w:val="00687145"/>
    <w:rsid w:val="00794583"/>
    <w:rsid w:val="007A09DD"/>
    <w:rsid w:val="007F5321"/>
    <w:rsid w:val="00837F71"/>
    <w:rsid w:val="008C4641"/>
    <w:rsid w:val="009E689D"/>
    <w:rsid w:val="00A148D3"/>
    <w:rsid w:val="00A37FB0"/>
    <w:rsid w:val="00B26540"/>
    <w:rsid w:val="00B42765"/>
    <w:rsid w:val="00BE275A"/>
    <w:rsid w:val="00C516EE"/>
    <w:rsid w:val="00C53632"/>
    <w:rsid w:val="00C87787"/>
    <w:rsid w:val="00DA5F4A"/>
    <w:rsid w:val="00E10D53"/>
    <w:rsid w:val="00EA1217"/>
    <w:rsid w:val="00EB4AE3"/>
    <w:rsid w:val="00F7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FEB58"/>
  <w15:docId w15:val="{4CFF7529-402A-B749-B792-819E52D1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paragraph" w:styleId="Heading1">
    <w:name w:val="heading 1"/>
    <w:basedOn w:val="Normal"/>
    <w:next w:val="Normal"/>
    <w:link w:val="Heading1Char"/>
    <w:uiPriority w:val="9"/>
    <w:qFormat/>
    <w:rsid w:val="00647F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7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7F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7F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7F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7FA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7F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7F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513"/>
    <w:pPr>
      <w:widowControl w:val="0"/>
      <w:autoSpaceDE w:val="0"/>
      <w:autoSpaceDN w:val="0"/>
      <w:adjustRightInd w:val="0"/>
    </w:pPr>
    <w:rPr>
      <w:rFonts w:cs="Calibri"/>
      <w:sz w:val="22"/>
      <w:szCs w:val="22"/>
    </w:rPr>
  </w:style>
  <w:style w:type="character" w:customStyle="1" w:styleId="Heading1Char">
    <w:name w:val="Heading 1 Char"/>
    <w:basedOn w:val="DefaultParagraphFont"/>
    <w:link w:val="Heading1"/>
    <w:uiPriority w:val="9"/>
    <w:rsid w:val="00647F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7F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7FA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47FA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47FA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47FA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47FA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47FAB"/>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647FAB"/>
    <w:rPr>
      <w:i/>
      <w:iCs/>
      <w:color w:val="000000" w:themeColor="text1"/>
    </w:rPr>
  </w:style>
  <w:style w:type="character" w:customStyle="1" w:styleId="QuoteChar">
    <w:name w:val="Quote Char"/>
    <w:basedOn w:val="DefaultParagraphFont"/>
    <w:link w:val="Quote"/>
    <w:uiPriority w:val="29"/>
    <w:rsid w:val="00647FAB"/>
    <w:rPr>
      <w:rFonts w:cs="Calibri"/>
      <w:i/>
      <w:iCs/>
      <w:color w:val="000000" w:themeColor="text1"/>
      <w:sz w:val="22"/>
      <w:szCs w:val="22"/>
    </w:rPr>
  </w:style>
  <w:style w:type="character" w:customStyle="1" w:styleId="UnresolvedMention1">
    <w:name w:val="Unresolved Mention1"/>
    <w:basedOn w:val="DefaultParagraphFont"/>
    <w:uiPriority w:val="99"/>
    <w:semiHidden/>
    <w:unhideWhenUsed/>
    <w:rsid w:val="00983707"/>
    <w:rPr>
      <w:color w:val="808080"/>
      <w:shd w:val="clear" w:color="auto" w:fill="E6E6E6"/>
    </w:rPr>
  </w:style>
  <w:style w:type="paragraph" w:styleId="ListParagraph">
    <w:name w:val="List Paragraph"/>
    <w:basedOn w:val="Normal"/>
    <w:uiPriority w:val="34"/>
    <w:qFormat/>
    <w:rsid w:val="002C7C1A"/>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3228">
      <w:bodyDiv w:val="1"/>
      <w:marLeft w:val="0"/>
      <w:marRight w:val="0"/>
      <w:marTop w:val="0"/>
      <w:marBottom w:val="0"/>
      <w:divBdr>
        <w:top w:val="none" w:sz="0" w:space="0" w:color="auto"/>
        <w:left w:val="none" w:sz="0" w:space="0" w:color="auto"/>
        <w:bottom w:val="none" w:sz="0" w:space="0" w:color="auto"/>
        <w:right w:val="none" w:sz="0" w:space="0" w:color="auto"/>
      </w:divBdr>
    </w:div>
    <w:div w:id="1272543199">
      <w:bodyDiv w:val="1"/>
      <w:marLeft w:val="0"/>
      <w:marRight w:val="0"/>
      <w:marTop w:val="0"/>
      <w:marBottom w:val="0"/>
      <w:divBdr>
        <w:top w:val="none" w:sz="0" w:space="0" w:color="auto"/>
        <w:left w:val="none" w:sz="0" w:space="0" w:color="auto"/>
        <w:bottom w:val="none" w:sz="0" w:space="0" w:color="auto"/>
        <w:right w:val="none" w:sz="0" w:space="0" w:color="auto"/>
      </w:divBdr>
    </w:div>
    <w:div w:id="19220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biotechnolog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erlynx.com/pdf/full-prescribing-informati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mabiotechnolog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Mariann Ohanesian</dc:creator>
  <cp:lastModifiedBy>Microsoft Office User</cp:lastModifiedBy>
  <cp:revision>2</cp:revision>
  <cp:lastPrinted>2019-02-28T18:35:00Z</cp:lastPrinted>
  <dcterms:created xsi:type="dcterms:W3CDTF">2019-02-28T20:36:00Z</dcterms:created>
  <dcterms:modified xsi:type="dcterms:W3CDTF">2019-02-28T20:36:00Z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{REF:0486232017}</vt:lpwstr>
  </property>
</Properties>
</file>