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97" w:rsidRDefault="002F144E">
      <w:pPr>
        <w:autoSpaceDE/>
        <w:autoSpaceDN/>
        <w:adjustRightInd/>
        <w:spacing w:before="99" w:after="0" w:line="240" w:lineRule="auto"/>
        <w:ind w:right="-20"/>
        <w:rPr>
          <w:rFonts w:ascii="Times New Roman" w:eastAsia="Times New Roman" w:hAnsi="Times New Roman" w:cs="Times New Roman"/>
          <w:sz w:val="32"/>
          <w:szCs w:val="32"/>
        </w:rPr>
      </w:pPr>
      <w:r>
        <w:rPr>
          <w:rFonts w:ascii="Times New Roman" w:eastAsia="Times New Roman" w:hAnsi="Times New Roman" w:cs="Times New Roman"/>
          <w:noProof/>
          <w:sz w:val="24"/>
          <w:szCs w:val="24"/>
        </w:rPr>
        <w:drawing>
          <wp:inline distT="0" distB="0" distL="0" distR="0">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106817"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rsidR="00064D97" w:rsidRDefault="004F3231">
      <w:pPr>
        <w:autoSpaceDE/>
        <w:autoSpaceDN/>
        <w:adjustRightInd/>
        <w:spacing w:before="4" w:after="0" w:line="170" w:lineRule="exact"/>
        <w:rPr>
          <w:rFonts w:eastAsia="Times New Roman" w:cs="Times New Roman"/>
          <w:sz w:val="17"/>
          <w:szCs w:val="24"/>
        </w:rPr>
      </w:pPr>
    </w:p>
    <w:p w:rsidR="00064D97" w:rsidRDefault="002F144E">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rsidR="00064D97" w:rsidRDefault="004F3231">
      <w:pPr>
        <w:autoSpaceDE/>
        <w:autoSpaceDN/>
        <w:adjustRightInd/>
        <w:spacing w:after="0" w:line="200" w:lineRule="exact"/>
        <w:rPr>
          <w:rFonts w:eastAsia="Times New Roman" w:cs="Times New Roman"/>
          <w:sz w:val="28"/>
          <w:szCs w:val="24"/>
        </w:rPr>
      </w:pPr>
    </w:p>
    <w:p w:rsidR="00064D97" w:rsidRDefault="002F144E">
      <w:pPr>
        <w:autoSpaceDE/>
        <w:autoSpaceDN/>
        <w:adjustRightInd/>
        <w:spacing w:before="120" w:after="120" w:line="20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Puma Biotechnology Reports First Quarter 2018 Financial Results </w:t>
      </w:r>
    </w:p>
    <w:p w:rsidR="00064D97" w:rsidRDefault="004F3231">
      <w:pPr>
        <w:autoSpaceDE/>
        <w:autoSpaceDN/>
        <w:adjustRightInd/>
        <w:spacing w:before="120" w:after="0" w:line="200" w:lineRule="exact"/>
        <w:jc w:val="center"/>
        <w:rPr>
          <w:rFonts w:ascii="Times New Roman" w:eastAsia="Times New Roman" w:hAnsi="Times New Roman" w:cs="Times New Roman"/>
          <w:b/>
          <w:sz w:val="24"/>
          <w:szCs w:val="24"/>
        </w:rPr>
      </w:pPr>
    </w:p>
    <w:p w:rsidR="00064D97" w:rsidRDefault="002F144E">
      <w:pPr>
        <w:autoSpaceDE/>
        <w:autoSpaceDN/>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b/>
        </w:rPr>
        <w:t>LOS</w:t>
      </w:r>
      <w:r>
        <w:rPr>
          <w:rFonts w:ascii="Times New Roman" w:eastAsia="Times New Roman" w:hAnsi="Times New Roman" w:cs="Times New Roman"/>
          <w:b/>
          <w:spacing w:val="1"/>
        </w:rPr>
        <w:t xml:space="preserve"> </w:t>
      </w:r>
      <w:r>
        <w:rPr>
          <w:rFonts w:ascii="Times New Roman" w:eastAsia="Times New Roman" w:hAnsi="Times New Roman" w:cs="Times New Roman"/>
          <w:b/>
        </w:rPr>
        <w:t>A</w:t>
      </w:r>
      <w:r>
        <w:rPr>
          <w:rFonts w:ascii="Times New Roman" w:eastAsia="Times New Roman" w:hAnsi="Times New Roman" w:cs="Times New Roman"/>
          <w:b/>
          <w:spacing w:val="-1"/>
        </w:rPr>
        <w:t>N</w:t>
      </w:r>
      <w:r>
        <w:rPr>
          <w:rFonts w:ascii="Times New Roman" w:eastAsia="Times New Roman" w:hAnsi="Times New Roman" w:cs="Times New Roman"/>
          <w:b/>
        </w:rPr>
        <w:t>GEL</w:t>
      </w:r>
      <w:r>
        <w:rPr>
          <w:rFonts w:ascii="Times New Roman" w:eastAsia="Times New Roman" w:hAnsi="Times New Roman" w:cs="Times New Roman"/>
          <w:b/>
          <w:spacing w:val="-1"/>
        </w:rPr>
        <w:t>E</w:t>
      </w:r>
      <w:r>
        <w:rPr>
          <w:rFonts w:ascii="Times New Roman" w:eastAsia="Times New Roman" w:hAnsi="Times New Roman" w:cs="Times New Roman"/>
          <w:b/>
        </w:rPr>
        <w:t>S,</w:t>
      </w:r>
      <w:r>
        <w:rPr>
          <w:rFonts w:ascii="Times New Roman" w:eastAsia="Times New Roman" w:hAnsi="Times New Roman" w:cs="Times New Roman"/>
          <w:b/>
          <w:spacing w:val="2"/>
        </w:rPr>
        <w:t xml:space="preserve"> </w:t>
      </w:r>
      <w:r>
        <w:rPr>
          <w:rFonts w:ascii="Times New Roman" w:eastAsia="Times New Roman" w:hAnsi="Times New Roman" w:cs="Times New Roman"/>
          <w:b/>
        </w:rPr>
        <w:t>Cali</w:t>
      </w:r>
      <w:r>
        <w:rPr>
          <w:rFonts w:ascii="Times New Roman" w:eastAsia="Times New Roman" w:hAnsi="Times New Roman" w:cs="Times New Roman"/>
          <w:b/>
          <w:spacing w:val="1"/>
        </w:rPr>
        <w:t>f</w:t>
      </w:r>
      <w:r>
        <w:rPr>
          <w:rFonts w:ascii="Times New Roman" w:eastAsia="Times New Roman" w:hAnsi="Times New Roman" w:cs="Times New Roman"/>
          <w:b/>
        </w:rPr>
        <w:t>.,</w:t>
      </w:r>
      <w:r>
        <w:rPr>
          <w:rFonts w:ascii="Times New Roman" w:eastAsia="Times New Roman" w:hAnsi="Times New Roman" w:cs="Times New Roman"/>
          <w:b/>
          <w:spacing w:val="1"/>
        </w:rPr>
        <w:t xml:space="preserve"> </w:t>
      </w:r>
      <w:r w:rsidRPr="00F51510">
        <w:rPr>
          <w:rFonts w:ascii="Times New Roman" w:eastAsia="Times New Roman" w:hAnsi="Times New Roman" w:cs="Times New Roman"/>
          <w:b/>
        </w:rPr>
        <w:t>May 9</w:t>
      </w:r>
      <w:r>
        <w:rPr>
          <w:rFonts w:ascii="Times New Roman" w:eastAsia="Times New Roman" w:hAnsi="Times New Roman" w:cs="Times New Roman"/>
          <w:b/>
        </w:rPr>
        <w:t>, 2018</w:t>
      </w:r>
      <w:r>
        <w:rPr>
          <w:rFonts w:ascii="Times New Roman" w:eastAsia="Times New Roman" w:hAnsi="Times New Roman" w:cs="Times New Roman"/>
          <w:b/>
          <w:spacing w:val="1"/>
        </w:rPr>
        <w:t xml:space="preserve"> </w:t>
      </w:r>
      <w:r>
        <w:rPr>
          <w:rFonts w:ascii="Symbol" w:eastAsia="Symbol" w:hAnsi="Symbol" w:cs="Times New Roman"/>
        </w:rPr>
        <w:sym w:font="Symbol" w:char="F02D"/>
      </w:r>
      <w:r>
        <w:rPr>
          <w:rFonts w:ascii="Times New Roman" w:eastAsia="Times New Roman" w:hAnsi="Times New Roman" w:cs="Times New Roman"/>
        </w:rPr>
        <w:t xml:space="preserve"> Pu</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Biotechnology,</w:t>
      </w:r>
      <w:r>
        <w:rPr>
          <w:rFonts w:ascii="Times New Roman" w:eastAsia="Times New Roman" w:hAnsi="Times New Roman" w:cs="Times New Roman"/>
          <w:spacing w:val="1"/>
        </w:rPr>
        <w:t xml:space="preserve"> </w:t>
      </w:r>
      <w:r>
        <w:rPr>
          <w:rFonts w:ascii="Times New Roman" w:eastAsia="Times New Roman" w:hAnsi="Times New Roman" w:cs="Times New Roman"/>
        </w:rPr>
        <w:t>Inc</w:t>
      </w:r>
      <w:r>
        <w:rPr>
          <w:rFonts w:ascii="Times New Roman" w:eastAsia="Times New Roman" w:hAnsi="Times New Roman" w:cs="Times New Roman"/>
          <w:spacing w:val="-1"/>
        </w:rPr>
        <w:t>. (NASDAQ: PBYI)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 biophar</w:t>
      </w:r>
      <w:r>
        <w:rPr>
          <w:rFonts w:ascii="Times New Roman" w:eastAsia="Times New Roman" w:hAnsi="Times New Roman" w:cs="Times New Roman"/>
          <w:spacing w:val="-1"/>
        </w:rPr>
        <w:t>m</w:t>
      </w:r>
      <w:r>
        <w:rPr>
          <w:rFonts w:ascii="Times New Roman" w:eastAsia="Times New Roman" w:hAnsi="Times New Roman" w:cs="Times New Roman"/>
        </w:rPr>
        <w:t>aceut</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company, </w:t>
      </w:r>
      <w:r>
        <w:rPr>
          <w:rFonts w:ascii="Times New Roman" w:eastAsia="Times New Roman" w:hAnsi="Times New Roman" w:cs="Times New Roman"/>
          <w:lang w:val="en-GB"/>
        </w:rPr>
        <w:t>announced financial results for the first quarter ended March 31, 2018.</w:t>
      </w:r>
    </w:p>
    <w:p w:rsidR="00064D97" w:rsidRDefault="004F3231">
      <w:pPr>
        <w:autoSpaceDE/>
        <w:autoSpaceDN/>
        <w:adjustRightInd/>
        <w:spacing w:after="0" w:line="240" w:lineRule="auto"/>
        <w:jc w:val="both"/>
        <w:rPr>
          <w:rFonts w:ascii="Times New Roman" w:eastAsia="Times New Roman" w:hAnsi="Times New Roman" w:cs="Times New Roman"/>
        </w:rPr>
      </w:pPr>
    </w:p>
    <w:p w:rsidR="00064D97" w:rsidRDefault="002F144E">
      <w:pPr>
        <w:autoSpaceDE/>
        <w:autoSpaceDN/>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rPr>
        <w:t>Unless otherwise stated, all comparisons are for the first quarter</w:t>
      </w:r>
      <w:r>
        <w:rPr>
          <w:rFonts w:ascii="Times New Roman" w:eastAsia="Times New Roman" w:hAnsi="Times New Roman" w:cs="Times New Roman"/>
          <w:lang w:val="en-GB"/>
        </w:rPr>
        <w:t xml:space="preserve"> 2018</w:t>
      </w:r>
      <w:r>
        <w:rPr>
          <w:rFonts w:ascii="Times New Roman" w:eastAsia="Times New Roman" w:hAnsi="Times New Roman" w:cs="Times New Roman"/>
        </w:rPr>
        <w:t xml:space="preserve"> compared to the first quarter </w:t>
      </w:r>
      <w:r>
        <w:rPr>
          <w:rFonts w:ascii="Times New Roman" w:eastAsia="Times New Roman" w:hAnsi="Times New Roman" w:cs="Times New Roman"/>
          <w:lang w:val="en-GB"/>
        </w:rPr>
        <w:t>2017</w:t>
      </w:r>
      <w:r>
        <w:rPr>
          <w:rFonts w:ascii="Times New Roman" w:eastAsia="Times New Roman" w:hAnsi="Times New Roman" w:cs="Times New Roman"/>
        </w:rPr>
        <w:t>.</w:t>
      </w:r>
    </w:p>
    <w:p w:rsidR="00064D97" w:rsidRDefault="004F3231">
      <w:pPr>
        <w:autoSpaceDE/>
        <w:autoSpaceDN/>
        <w:adjustRightInd/>
        <w:spacing w:after="0" w:line="240" w:lineRule="auto"/>
        <w:jc w:val="both"/>
        <w:rPr>
          <w:rFonts w:ascii="Times New Roman" w:eastAsia="Times New Roman" w:hAnsi="Times New Roman" w:cs="Times New Roman"/>
        </w:rPr>
      </w:pPr>
    </w:p>
    <w:p w:rsidR="00064D97" w:rsidRDefault="002F144E">
      <w:pPr>
        <w:autoSpaceDE/>
        <w:autoSpaceDN/>
        <w:adjustRightInd/>
        <w:spacing w:after="0" w:line="230" w:lineRule="auto"/>
        <w:ind w:right="53"/>
        <w:jc w:val="both"/>
        <w:rPr>
          <w:rFonts w:ascii="Times New Roman" w:eastAsia="Times New Roman" w:hAnsi="Times New Roman" w:cs="Times New Roman"/>
        </w:rPr>
      </w:pPr>
      <w:r>
        <w:rPr>
          <w:rFonts w:ascii="Times New Roman" w:eastAsia="Times New Roman" w:hAnsi="Times New Roman" w:cs="Times New Roman"/>
        </w:rPr>
        <w:t xml:space="preserve">On July 17, 2017, Puma Biotechnology received approval from the U.S. Food and Drug Administration (FDA) for NERLYNX® (neratinib) for the treatment of early stage HER2-positive breast cancer following adjuvant trastuzumab-based therapy, and the Company began shipment to wholesalers at the end of July 2017.  Prior to the launch of NERLYNX the Company had no product revenue.  Net product revenue from sales of NERLYNX in the first quarter of 2018 amounted to $36.0 million, compared to net product revenue of $6.1 million and $20.1 million in the third and fourth quarters of 2017, respectively.  </w:t>
      </w:r>
    </w:p>
    <w:p w:rsidR="00064D97" w:rsidRDefault="004F3231">
      <w:pPr>
        <w:autoSpaceDE/>
        <w:autoSpaceDN/>
        <w:adjustRightInd/>
        <w:spacing w:after="0" w:line="240" w:lineRule="auto"/>
        <w:jc w:val="both"/>
        <w:rPr>
          <w:rFonts w:ascii="Times New Roman" w:eastAsia="Times New Roman" w:hAnsi="Times New Roman" w:cs="Times New Roman"/>
        </w:rPr>
      </w:pPr>
    </w:p>
    <w:p w:rsidR="00064D97" w:rsidRDefault="002F144E">
      <w:pPr>
        <w:autoSpaceDE/>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Based on accounting principles generally accepted in the United States (GAAP), </w:t>
      </w:r>
      <w:r>
        <w:rPr>
          <w:rFonts w:ascii="Times New Roman" w:eastAsia="Times New Roman" w:hAnsi="Times New Roman" w:cs="Times New Roman"/>
          <w:lang w:val="en-GB"/>
        </w:rPr>
        <w:t xml:space="preserve">Puma reported a net loss applicable to common stock of $24.3 million, or $0.65 per share, for the first quarter of 2018, compared to a net loss applicable to common stock of $72.9 million, or $1.97 per share, for the first quarter of 2017.  </w:t>
      </w:r>
    </w:p>
    <w:p w:rsidR="00064D97" w:rsidRDefault="004F3231">
      <w:pPr>
        <w:autoSpaceDE/>
        <w:autoSpaceDN/>
        <w:adjustRightInd/>
        <w:spacing w:after="0" w:line="240" w:lineRule="auto"/>
        <w:jc w:val="both"/>
        <w:rPr>
          <w:rFonts w:ascii="Times New Roman" w:eastAsia="Times New Roman" w:hAnsi="Times New Roman" w:cs="Times New Roman"/>
          <w:lang w:val="en-GB"/>
        </w:rPr>
      </w:pPr>
    </w:p>
    <w:p w:rsidR="00064D97" w:rsidRDefault="002F144E">
      <w:pPr>
        <w:autoSpaceDE/>
        <w:autoSpaceDN/>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GB"/>
        </w:rPr>
        <w:t>Non-GAAP adjusted net income was $1.1 million, or $0.03 per basic share and $0.02 per diluted share, for the first quarter of 2018, compared to non-GAAP adjusted net loss of $43.1 million, or $1.16 per basic</w:t>
      </w:r>
      <w:r w:rsidR="009E7F66">
        <w:rPr>
          <w:rFonts w:ascii="Times New Roman" w:eastAsia="Times New Roman" w:hAnsi="Times New Roman" w:cs="Times New Roman"/>
          <w:lang w:val="en-GB"/>
        </w:rPr>
        <w:t xml:space="preserve"> and diluted</w:t>
      </w:r>
      <w:r>
        <w:rPr>
          <w:rFonts w:ascii="Times New Roman" w:eastAsia="Times New Roman" w:hAnsi="Times New Roman" w:cs="Times New Roman"/>
          <w:lang w:val="en-GB"/>
        </w:rPr>
        <w:t xml:space="preserve"> share, for the first quarter of 2017.  Non-GAAP adjusted net income (loss) </w:t>
      </w:r>
      <w:r>
        <w:rPr>
          <w:rFonts w:ascii="Times New Roman" w:eastAsia="Times New Roman" w:hAnsi="Times New Roman" w:cs="Times New Roman"/>
        </w:rPr>
        <w:t xml:space="preserve">excludes stock-based compensation expense, which represents a significant portion of overall expense and has no impact on the cash position of the Company.  For a reconciliation of GAAP net loss to non-GAAP adjusted net income (loss) and GAAP net loss per share to non-GAAP adjusted net income (loss) per share, please see the financial tables at the end of this news release.  </w:t>
      </w:r>
    </w:p>
    <w:p w:rsidR="00064D97" w:rsidRDefault="004F3231">
      <w:pPr>
        <w:autoSpaceDE/>
        <w:autoSpaceDN/>
        <w:adjustRightInd/>
        <w:spacing w:after="0" w:line="240" w:lineRule="auto"/>
        <w:jc w:val="both"/>
        <w:rPr>
          <w:rFonts w:ascii="Times New Roman" w:eastAsia="Times New Roman" w:hAnsi="Times New Roman" w:cs="Times New Roman"/>
          <w:lang w:val="en-GB"/>
        </w:rPr>
      </w:pPr>
    </w:p>
    <w:p w:rsidR="00064D97" w:rsidRDefault="002F144E">
      <w:pPr>
        <w:autoSpaceDE/>
        <w:autoSpaceDN/>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Net cash used in operating activities for the first quarter of 2018 was $6.3 million. At March 31, 2018, Puma had cash and cash equivalents of $78.6 million, compared to cash and cash equivalents of $81.7 million at December 31, 2017.  </w:t>
      </w:r>
    </w:p>
    <w:p w:rsidR="00064D97" w:rsidRDefault="004F3231">
      <w:pPr>
        <w:autoSpaceDE/>
        <w:autoSpaceDN/>
        <w:adjustRightInd/>
        <w:spacing w:after="0" w:line="240" w:lineRule="auto"/>
        <w:jc w:val="both"/>
        <w:rPr>
          <w:rFonts w:ascii="Times New Roman" w:hAnsi="Times New Roman" w:cs="Times New Roman"/>
        </w:rPr>
      </w:pPr>
    </w:p>
    <w:p w:rsidR="00064D97" w:rsidRDefault="002F144E">
      <w:pPr>
        <w:spacing w:after="0" w:line="240" w:lineRule="auto"/>
        <w:jc w:val="both"/>
        <w:rPr>
          <w:rFonts w:ascii="Times New Roman" w:hAnsi="Times New Roman" w:cs="Times New Roman"/>
        </w:rPr>
      </w:pPr>
      <w:r>
        <w:rPr>
          <w:rFonts w:ascii="Times New Roman" w:eastAsia="Times New Roman" w:hAnsi="Times New Roman" w:cs="Times New Roman"/>
          <w:lang w:val="en-GB"/>
        </w:rPr>
        <w:t>“</w:t>
      </w:r>
      <w:r>
        <w:rPr>
          <w:rFonts w:ascii="Times New Roman" w:eastAsia="Times New Roman" w:hAnsi="Times New Roman" w:cs="Times New Roman"/>
          <w:color w:val="000000" w:themeColor="text1"/>
          <w:lang w:val="en-GB"/>
        </w:rPr>
        <w:t xml:space="preserve">We made substantial progress in the commercialization of our lead product, NERLYNX® (neratinib), during the first quarter of 2018,” said </w:t>
      </w:r>
      <w:r>
        <w:rPr>
          <w:rFonts w:ascii="Times New Roman" w:hAnsi="Times New Roman" w:cs="Times New Roman"/>
          <w:color w:val="000000" w:themeColor="text1"/>
        </w:rPr>
        <w:t xml:space="preserve">Alan H. Auerbach, Chairman, Chief Executive </w:t>
      </w:r>
      <w:r>
        <w:rPr>
          <w:rFonts w:ascii="Times New Roman" w:hAnsi="Times New Roman" w:cs="Times New Roman"/>
        </w:rPr>
        <w:t xml:space="preserve">Officer and President of Puma. “We quickly built momentum in the U.S. market, with net sales steadily rising since our launch.  Our exclusive licensing agreements to date, with Pint Pharma in Latin America, </w:t>
      </w:r>
      <w:proofErr w:type="spellStart"/>
      <w:r>
        <w:rPr>
          <w:rFonts w:ascii="Times New Roman" w:hAnsi="Times New Roman" w:cs="Times New Roman"/>
        </w:rPr>
        <w:t>CANbridge</w:t>
      </w:r>
      <w:proofErr w:type="spellEnd"/>
      <w:r>
        <w:rPr>
          <w:rFonts w:ascii="Times New Roman" w:hAnsi="Times New Roman" w:cs="Times New Roman"/>
        </w:rPr>
        <w:t xml:space="preserve"> in mainland China and Taiwan, </w:t>
      </w:r>
      <w:proofErr w:type="spellStart"/>
      <w:r>
        <w:rPr>
          <w:rFonts w:ascii="Times New Roman" w:hAnsi="Times New Roman" w:cs="Times New Roman"/>
        </w:rPr>
        <w:t>Medison</w:t>
      </w:r>
      <w:proofErr w:type="spellEnd"/>
      <w:r>
        <w:rPr>
          <w:rFonts w:ascii="Times New Roman" w:hAnsi="Times New Roman" w:cs="Times New Roman"/>
        </w:rPr>
        <w:t xml:space="preserve"> Pharma in Israel, and </w:t>
      </w:r>
      <w:proofErr w:type="spellStart"/>
      <w:r>
        <w:rPr>
          <w:rFonts w:ascii="Times New Roman" w:hAnsi="Times New Roman" w:cs="Times New Roman"/>
        </w:rPr>
        <w:t>Specialised</w:t>
      </w:r>
      <w:proofErr w:type="spellEnd"/>
      <w:r>
        <w:rPr>
          <w:rFonts w:ascii="Times New Roman" w:hAnsi="Times New Roman" w:cs="Times New Roman"/>
        </w:rPr>
        <w:t xml:space="preserve"> Therapeutics Asia in South East Asia, demonstrate our commitment to also make NERLYNX accessible to patients globally while we continue to grow the U.S. market.</w:t>
      </w:r>
    </w:p>
    <w:p w:rsidR="00064D97" w:rsidRDefault="004F3231">
      <w:pPr>
        <w:spacing w:after="0" w:line="240" w:lineRule="auto"/>
        <w:jc w:val="both"/>
        <w:rPr>
          <w:rFonts w:ascii="Times New Roman" w:hAnsi="Times New Roman" w:cs="Times New Roman"/>
        </w:rPr>
      </w:pPr>
    </w:p>
    <w:p w:rsidR="00064D97" w:rsidRPr="00682D80" w:rsidRDefault="002F144E" w:rsidP="0042551A">
      <w:pPr>
        <w:spacing w:after="0" w:line="240" w:lineRule="auto"/>
        <w:jc w:val="both"/>
        <w:rPr>
          <w:rFonts w:ascii="Times New Roman" w:hAnsi="Times New Roman" w:cs="Times New Roman"/>
        </w:rPr>
      </w:pPr>
      <w:r>
        <w:rPr>
          <w:rFonts w:ascii="Times New Roman" w:hAnsi="Times New Roman" w:cs="Times New Roman"/>
        </w:rPr>
        <w:t xml:space="preserve">“We are also pleased with the updated National Comprehensive Cancer Network (NCCN) guidelines, which designate NERLYNX as a recommended combination treatment option for breast cancer patients with brain metastases. In addition, </w:t>
      </w:r>
      <w:r>
        <w:rPr>
          <w:rFonts w:ascii="Times New Roman" w:eastAsia="Times New Roman" w:hAnsi="Times New Roman" w:cs="Times New Roman"/>
          <w:lang w:val="en-GB"/>
        </w:rPr>
        <w:t xml:space="preserve">data on neratinib were published in the journal </w:t>
      </w:r>
      <w:r>
        <w:rPr>
          <w:rFonts w:ascii="Times New Roman" w:eastAsia="Times New Roman" w:hAnsi="Times New Roman" w:cs="Times New Roman"/>
          <w:i/>
          <w:lang w:val="en-GB"/>
        </w:rPr>
        <w:t>Nature,</w:t>
      </w:r>
      <w:r>
        <w:rPr>
          <w:rFonts w:ascii="Times New Roman" w:eastAsia="Times New Roman" w:hAnsi="Times New Roman" w:cs="Times New Roman"/>
          <w:lang w:val="en-GB"/>
        </w:rPr>
        <w:t xml:space="preserve"> which included initial results from Puma’s ongoing SUMMIT Phase II ‘basket’ clinical trial in patients with </w:t>
      </w:r>
      <w:proofErr w:type="spellStart"/>
      <w:r>
        <w:rPr>
          <w:rFonts w:ascii="Times New Roman" w:eastAsia="Times New Roman" w:hAnsi="Times New Roman" w:cs="Times New Roman"/>
          <w:lang w:val="en-GB"/>
        </w:rPr>
        <w:t>tumors</w:t>
      </w:r>
      <w:proofErr w:type="spellEnd"/>
      <w:r>
        <w:rPr>
          <w:rFonts w:ascii="Times New Roman" w:eastAsia="Times New Roman" w:hAnsi="Times New Roman" w:cs="Times New Roman"/>
          <w:lang w:val="en-GB"/>
        </w:rPr>
        <w:t xml:space="preserve"> </w:t>
      </w:r>
      <w:proofErr w:type="spellStart"/>
      <w:r>
        <w:rPr>
          <w:rFonts w:ascii="Times New Roman" w:eastAsia="Times New Roman" w:hAnsi="Times New Roman" w:cs="Times New Roman"/>
          <w:lang w:val="en-GB"/>
        </w:rPr>
        <w:t>harboring</w:t>
      </w:r>
      <w:proofErr w:type="spellEnd"/>
      <w:r>
        <w:rPr>
          <w:rFonts w:ascii="Times New Roman" w:eastAsia="Times New Roman" w:hAnsi="Times New Roman" w:cs="Times New Roman"/>
          <w:lang w:val="en-GB"/>
        </w:rPr>
        <w:t xml:space="preserve"> HER2 or HER3 mutations. SUMMIT is designed to evaluate the contributions of both genetic mutation and cancer type on individual patient response to neratinib. Information generated from the trial will help guide neratinib-based targeted therapy across a broad spectrum of </w:t>
      </w:r>
      <w:proofErr w:type="spellStart"/>
      <w:r>
        <w:rPr>
          <w:rFonts w:ascii="Times New Roman" w:eastAsia="Times New Roman" w:hAnsi="Times New Roman" w:cs="Times New Roman"/>
          <w:lang w:val="en-GB"/>
        </w:rPr>
        <w:t>tumor</w:t>
      </w:r>
      <w:proofErr w:type="spellEnd"/>
      <w:r>
        <w:rPr>
          <w:rFonts w:ascii="Times New Roman" w:eastAsia="Times New Roman" w:hAnsi="Times New Roman" w:cs="Times New Roman"/>
          <w:lang w:val="en-GB"/>
        </w:rPr>
        <w:t xml:space="preserve"> types with HER2 or HER3 mutations, including patients with rare tumors who may not otherwise have access to </w:t>
      </w:r>
      <w:r w:rsidRPr="00682D80">
        <w:rPr>
          <w:rFonts w:ascii="Times New Roman" w:hAnsi="Times New Roman" w:cs="Times New Roman"/>
        </w:rPr>
        <w:t xml:space="preserve">investigational therapies.  We believe the publication of the initial SUMMIT data in this prestigious </w:t>
      </w:r>
      <w:r w:rsidRPr="00682D80">
        <w:rPr>
          <w:rFonts w:ascii="Times New Roman" w:hAnsi="Times New Roman" w:cs="Times New Roman"/>
        </w:rPr>
        <w:lastRenderedPageBreak/>
        <w:t>journal reflects the novelty and quality of this precision-medicine trial design, as well as the growing understanding that both tumor type and gene mutations play an important role in individual patients’ response to cancer therapies such as neratinib.”</w:t>
      </w:r>
    </w:p>
    <w:p w:rsidR="00064D97" w:rsidRDefault="004F3231" w:rsidP="0042551A">
      <w:pPr>
        <w:spacing w:after="0" w:line="240" w:lineRule="auto"/>
        <w:jc w:val="both"/>
        <w:rPr>
          <w:rFonts w:ascii="Times New Roman" w:eastAsia="Times New Roman" w:hAnsi="Times New Roman" w:cs="Times New Roman"/>
          <w:lang w:val="en-GB"/>
        </w:rPr>
      </w:pPr>
    </w:p>
    <w:p w:rsidR="00064D97" w:rsidRDefault="002F144E" w:rsidP="0042551A">
      <w:pPr>
        <w:spacing w:after="0" w:line="240" w:lineRule="auto"/>
        <w:jc w:val="both"/>
        <w:rPr>
          <w:rFonts w:ascii="Times New Roman" w:hAnsi="Times New Roman" w:cs="Times New Roman"/>
        </w:rPr>
      </w:pPr>
      <w:r>
        <w:rPr>
          <w:rFonts w:ascii="Times New Roman" w:eastAsia="Times New Roman" w:hAnsi="Times New Roman" w:cs="Times New Roman"/>
          <w:lang w:val="en-GB"/>
        </w:rPr>
        <w:t xml:space="preserve">Mr. Auerbach added, “During 2018, we anticipate the following key milestones:  (i) </w:t>
      </w:r>
      <w:r>
        <w:rPr>
          <w:rFonts w:ascii="Times New Roman" w:hAnsi="Times New Roman" w:cs="Times New Roman"/>
        </w:rPr>
        <w:t xml:space="preserve">reporting updated Phase I/II data from neratinib plus </w:t>
      </w:r>
      <w:proofErr w:type="spellStart"/>
      <w:r>
        <w:rPr>
          <w:rFonts w:ascii="Times New Roman" w:hAnsi="Times New Roman" w:cs="Times New Roman"/>
        </w:rPr>
        <w:t>Kadcyla</w:t>
      </w:r>
      <w:proofErr w:type="spellEnd"/>
      <w:r>
        <w:rPr>
          <w:rFonts w:ascii="Times New Roman" w:hAnsi="Times New Roman" w:cs="Times New Roman"/>
        </w:rPr>
        <w:t xml:space="preserve"> (T-DM1) in the HER2-positive metastatic breast cancer trial  in the second quarter of 2018; (ii) re-assessment of the Marketing </w:t>
      </w:r>
      <w:proofErr w:type="spellStart"/>
      <w:r>
        <w:rPr>
          <w:rFonts w:ascii="Times New Roman" w:hAnsi="Times New Roman" w:cs="Times New Roman"/>
        </w:rPr>
        <w:t>Authorisation</w:t>
      </w:r>
      <w:proofErr w:type="spellEnd"/>
      <w:r>
        <w:rPr>
          <w:rFonts w:ascii="Times New Roman" w:hAnsi="Times New Roman" w:cs="Times New Roman"/>
        </w:rPr>
        <w:t xml:space="preserve"> Application for neratinib by the Committee for Medicinal Products for Human Use (CHMP) of the European Medicines Agency (EMA) in mid-2018; (iii) reporting data from the Phase III trial in third-line metastatic breast cancer patients  in the second half of 2018; (iv) submitting for regulatory approval for the extended adjuvant HER2-positive early stage breast cancer indication in select countries in the second half of 2018; and (v) reporting additional data from the Phase II CONTROL trial in the fourth quarter of 2018.</w:t>
      </w:r>
      <w:r w:rsidR="00103495">
        <w:rPr>
          <w:rFonts w:ascii="Times New Roman" w:hAnsi="Times New Roman" w:cs="Times New Roman"/>
        </w:rPr>
        <w:t>”</w:t>
      </w:r>
      <w:bookmarkStart w:id="0" w:name="_GoBack"/>
      <w:bookmarkEnd w:id="0"/>
      <w:r>
        <w:rPr>
          <w:rFonts w:ascii="Times New Roman" w:hAnsi="Times New Roman" w:cs="Times New Roman"/>
        </w:rPr>
        <w:t xml:space="preserve"> </w:t>
      </w:r>
    </w:p>
    <w:p w:rsidR="00064D97" w:rsidRDefault="004F3231">
      <w:pPr>
        <w:autoSpaceDE/>
        <w:autoSpaceDN/>
        <w:adjustRightInd/>
        <w:spacing w:after="0" w:line="240" w:lineRule="auto"/>
        <w:jc w:val="both"/>
        <w:rPr>
          <w:rFonts w:ascii="Times New Roman" w:eastAsia="Times New Roman" w:hAnsi="Times New Roman" w:cs="Times New Roman"/>
        </w:rPr>
      </w:pPr>
    </w:p>
    <w:p w:rsidR="00064D97" w:rsidRDefault="002F144E">
      <w:pPr>
        <w:spacing w:after="0" w:line="240" w:lineRule="auto"/>
        <w:jc w:val="both"/>
        <w:rPr>
          <w:rFonts w:ascii="Times New Roman" w:eastAsia="PMingLiU" w:hAnsi="Times New Roman" w:cs="Times New Roman"/>
          <w:b/>
        </w:rPr>
      </w:pPr>
      <w:r>
        <w:rPr>
          <w:rFonts w:ascii="Times New Roman" w:eastAsia="PMingLiU" w:hAnsi="Times New Roman" w:cs="Times New Roman"/>
          <w:b/>
        </w:rPr>
        <w:t xml:space="preserve">Revenue  </w:t>
      </w:r>
    </w:p>
    <w:p w:rsidR="00064D97" w:rsidRDefault="004F3231">
      <w:pPr>
        <w:spacing w:after="0" w:line="240" w:lineRule="auto"/>
        <w:jc w:val="both"/>
        <w:rPr>
          <w:rFonts w:ascii="Times New Roman" w:eastAsia="PMingLiU" w:hAnsi="Times New Roman" w:cs="Times New Roman"/>
        </w:rPr>
      </w:pPr>
    </w:p>
    <w:p w:rsidR="00064D97" w:rsidRDefault="002F144E">
      <w:pPr>
        <w:spacing w:after="0" w:line="240" w:lineRule="auto"/>
        <w:jc w:val="both"/>
        <w:rPr>
          <w:rFonts w:ascii="Times New Roman" w:eastAsia="Times New Roman" w:hAnsi="Times New Roman" w:cs="Times New Roman"/>
          <w:lang w:val="en-GB"/>
        </w:rPr>
      </w:pPr>
      <w:r>
        <w:rPr>
          <w:rFonts w:ascii="Times New Roman" w:eastAsia="PMingLiU" w:hAnsi="Times New Roman" w:cs="Times New Roman"/>
        </w:rPr>
        <w:t xml:space="preserve">Total revenue consists of net product revenue from sales of NERLYNX, Puma’s first and only commercial product to date, and license revenue. The FDA approved NERLYNX for commercial sale in the United States in July 2017 and the Company commenced shipment to wholesalers in late July. </w:t>
      </w:r>
      <w:r>
        <w:rPr>
          <w:rFonts w:ascii="Times New Roman" w:eastAsia="Times New Roman" w:hAnsi="Times New Roman" w:cs="Times New Roman"/>
          <w:lang w:val="en-GB"/>
        </w:rPr>
        <w:t>For the first quarter of 2018, total revenue was $66.5 million, of which $36.0 million was net product revenue</w:t>
      </w:r>
      <w:r w:rsidR="00F27661">
        <w:rPr>
          <w:rFonts w:ascii="Times New Roman" w:eastAsia="Times New Roman" w:hAnsi="Times New Roman" w:cs="Times New Roman"/>
          <w:lang w:val="en-GB"/>
        </w:rPr>
        <w:t xml:space="preserve"> and</w:t>
      </w:r>
      <w:r>
        <w:rPr>
          <w:rFonts w:ascii="Times New Roman" w:eastAsia="Times New Roman" w:hAnsi="Times New Roman" w:cs="Times New Roman"/>
          <w:lang w:val="en-GB"/>
        </w:rPr>
        <w:t xml:space="preserve"> $30.</w:t>
      </w:r>
      <w:r w:rsidR="00F27661">
        <w:rPr>
          <w:rFonts w:ascii="Times New Roman" w:eastAsia="Times New Roman" w:hAnsi="Times New Roman" w:cs="Times New Roman"/>
          <w:lang w:val="en-GB"/>
        </w:rPr>
        <w:t>5</w:t>
      </w:r>
      <w:r>
        <w:rPr>
          <w:rFonts w:ascii="Times New Roman" w:eastAsia="Times New Roman" w:hAnsi="Times New Roman" w:cs="Times New Roman"/>
          <w:lang w:val="en-GB"/>
        </w:rPr>
        <w:t xml:space="preserve"> million was license revenue received </w:t>
      </w:r>
      <w:r w:rsidR="00F27661">
        <w:rPr>
          <w:rFonts w:ascii="Times New Roman" w:eastAsia="Times New Roman" w:hAnsi="Times New Roman" w:cs="Times New Roman"/>
          <w:lang w:val="en-GB"/>
        </w:rPr>
        <w:t xml:space="preserve">from Puma’s sub-licensees. </w:t>
      </w:r>
    </w:p>
    <w:p w:rsidR="006044A5" w:rsidRDefault="006044A5">
      <w:pPr>
        <w:spacing w:after="0" w:line="240" w:lineRule="auto"/>
        <w:jc w:val="both"/>
        <w:rPr>
          <w:rFonts w:ascii="Times New Roman" w:eastAsia="Times New Roman" w:hAnsi="Times New Roman" w:cs="Times New Roman"/>
          <w:lang w:val="en-GB"/>
        </w:rPr>
      </w:pPr>
    </w:p>
    <w:p w:rsidR="00064D97" w:rsidRDefault="002F144E">
      <w:pPr>
        <w:widowControl/>
        <w:autoSpaceDE/>
        <w:autoSpaceDN/>
        <w:adjustRightInd/>
        <w:spacing w:after="0" w:line="240" w:lineRule="auto"/>
        <w:rPr>
          <w:rFonts w:ascii="Times New Roman" w:eastAsia="Times New Roman" w:hAnsi="Times New Roman" w:cs="Times New Roman"/>
          <w:b/>
          <w:lang w:val="en-GB"/>
        </w:rPr>
      </w:pPr>
      <w:r>
        <w:rPr>
          <w:rFonts w:ascii="Times New Roman" w:eastAsia="Times New Roman" w:hAnsi="Times New Roman" w:cs="Times New Roman"/>
          <w:b/>
          <w:lang w:val="en-GB"/>
        </w:rPr>
        <w:t xml:space="preserve">Operating Expenses </w:t>
      </w:r>
    </w:p>
    <w:p w:rsidR="00064D97" w:rsidRDefault="004F3231">
      <w:pPr>
        <w:widowControl/>
        <w:autoSpaceDE/>
        <w:autoSpaceDN/>
        <w:adjustRightInd/>
        <w:spacing w:after="0" w:line="240" w:lineRule="auto"/>
        <w:rPr>
          <w:rFonts w:ascii="Times New Roman" w:eastAsia="Times New Roman" w:hAnsi="Times New Roman" w:cs="Times New Roman"/>
          <w:lang w:val="en-GB"/>
        </w:rPr>
      </w:pPr>
    </w:p>
    <w:p w:rsidR="00064D97" w:rsidRDefault="002F144E">
      <w:pPr>
        <w:autoSpaceDE/>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Operating expenses were $89.9 million for the first quarter of 2018, compared to $73.2 million for the first quarter of 2017.  </w:t>
      </w:r>
    </w:p>
    <w:p w:rsidR="00064D97" w:rsidRDefault="004F3231">
      <w:pPr>
        <w:autoSpaceDE/>
        <w:adjustRightInd/>
        <w:spacing w:after="0" w:line="240" w:lineRule="auto"/>
        <w:jc w:val="both"/>
        <w:rPr>
          <w:rFonts w:ascii="Times New Roman" w:eastAsia="Times New Roman" w:hAnsi="Times New Roman" w:cs="Times New Roman"/>
        </w:rPr>
      </w:pPr>
    </w:p>
    <w:p w:rsidR="00064D97" w:rsidRDefault="002F144E">
      <w:pPr>
        <w:spacing w:after="0" w:line="240" w:lineRule="auto"/>
        <w:jc w:val="both"/>
        <w:rPr>
          <w:rFonts w:ascii="Times New Roman" w:eastAsia="PMingLiU" w:hAnsi="Times New Roman" w:cs="Times New Roman"/>
          <w:i/>
          <w:iCs/>
          <w:color w:val="000000"/>
        </w:rPr>
      </w:pPr>
      <w:r>
        <w:rPr>
          <w:rFonts w:ascii="Times New Roman" w:eastAsia="PMingLiU" w:hAnsi="Times New Roman" w:cs="Times New Roman"/>
          <w:i/>
          <w:iCs/>
          <w:color w:val="000000"/>
        </w:rPr>
        <w:t>Cost of Sales:</w:t>
      </w:r>
    </w:p>
    <w:p w:rsidR="00064D97" w:rsidRDefault="004F3231">
      <w:pPr>
        <w:spacing w:after="0" w:line="240" w:lineRule="auto"/>
        <w:jc w:val="both"/>
        <w:rPr>
          <w:rFonts w:ascii="Times New Roman" w:eastAsia="PMingLiU" w:hAnsi="Times New Roman" w:cs="Times New Roman"/>
          <w:i/>
          <w:iCs/>
          <w:color w:val="000000"/>
        </w:rPr>
      </w:pPr>
    </w:p>
    <w:p w:rsidR="00064D97" w:rsidRDefault="002F144E">
      <w:pPr>
        <w:spacing w:after="0" w:line="240" w:lineRule="auto"/>
        <w:jc w:val="both"/>
        <w:rPr>
          <w:rFonts w:ascii="Times New Roman" w:eastAsia="PMingLiU" w:hAnsi="Times New Roman" w:cs="Times New Roman"/>
          <w:iCs/>
          <w:color w:val="000000"/>
        </w:rPr>
      </w:pPr>
      <w:r>
        <w:rPr>
          <w:rFonts w:ascii="Times New Roman" w:eastAsia="PMingLiU" w:hAnsi="Times New Roman" w:cs="Times New Roman"/>
          <w:iCs/>
          <w:color w:val="000000"/>
        </w:rPr>
        <w:t xml:space="preserve">Cost of sales was </w:t>
      </w:r>
      <w:r>
        <w:rPr>
          <w:rFonts w:ascii="Times New Roman" w:eastAsia="Times New Roman" w:hAnsi="Times New Roman" w:cs="Times New Roman"/>
          <w:lang w:val="en-GB"/>
        </w:rPr>
        <w:t>$6.4 million for the first quarter of 2018</w:t>
      </w:r>
      <w:r>
        <w:rPr>
          <w:rFonts w:ascii="Times New Roman" w:eastAsia="PMingLiU" w:hAnsi="Times New Roman" w:cs="Times New Roman"/>
          <w:iCs/>
          <w:color w:val="000000"/>
        </w:rPr>
        <w:t>.  The Company had no product sales prior to the third quarter of 2017.</w:t>
      </w:r>
    </w:p>
    <w:p w:rsidR="00064D97" w:rsidRDefault="004F3231">
      <w:pPr>
        <w:widowControl/>
        <w:autoSpaceDE/>
        <w:autoSpaceDN/>
        <w:adjustRightInd/>
        <w:spacing w:after="0" w:line="240" w:lineRule="auto"/>
        <w:rPr>
          <w:rFonts w:ascii="Times New Roman" w:eastAsia="Times New Roman" w:hAnsi="Times New Roman" w:cs="Times New Roman"/>
          <w:lang w:val="en-GB"/>
        </w:rPr>
      </w:pPr>
    </w:p>
    <w:p w:rsidR="00064D97" w:rsidRDefault="002F144E">
      <w:pPr>
        <w:widowControl/>
        <w:autoSpaceDE/>
        <w:autoSpaceDN/>
        <w:adjustRightInd/>
        <w:spacing w:after="0" w:line="240" w:lineRule="auto"/>
        <w:jc w:val="both"/>
        <w:rPr>
          <w:rFonts w:ascii="Times New Roman" w:eastAsia="Times New Roman" w:hAnsi="Times New Roman" w:cs="Times New Roman"/>
          <w:i/>
          <w:lang w:val="en-GB"/>
        </w:rPr>
      </w:pPr>
      <w:r>
        <w:rPr>
          <w:rFonts w:ascii="Times New Roman" w:eastAsia="Times New Roman" w:hAnsi="Times New Roman" w:cs="Times New Roman"/>
          <w:i/>
          <w:lang w:val="en-GB"/>
        </w:rPr>
        <w:t xml:space="preserve">Selling, General and Administrative Expenses: </w:t>
      </w:r>
    </w:p>
    <w:p w:rsidR="00064D97" w:rsidRDefault="004F3231">
      <w:pPr>
        <w:widowControl/>
        <w:autoSpaceDE/>
        <w:autoSpaceDN/>
        <w:adjustRightInd/>
        <w:spacing w:after="0" w:line="240" w:lineRule="auto"/>
        <w:jc w:val="both"/>
        <w:rPr>
          <w:rFonts w:ascii="Times New Roman" w:eastAsia="Times New Roman" w:hAnsi="Times New Roman" w:cs="Times New Roman"/>
          <w:lang w:val="en-GB"/>
        </w:rPr>
      </w:pPr>
    </w:p>
    <w:p w:rsidR="00064D97" w:rsidRDefault="002F144E">
      <w:pPr>
        <w:autoSpaceDE/>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Selling, general and administrative expenses were $36.6 million for the first quarter of 2018, compared to $18.4 million for the first quarter of 2017. The $18.2 million increase resulted primarily from increases of approximately $7.8 million in payroll and related costs, $6.6 million in marketing, market access, and legal expenses, $1.7 million in travel and related costs, and $1.7 million in stock-based compensation.  These increases reflect</w:t>
      </w:r>
      <w:r>
        <w:rPr>
          <w:color w:val="000000"/>
        </w:rPr>
        <w:t xml:space="preserve"> the commercial launch of NERLYNX and overall corporate growth.</w:t>
      </w:r>
      <w:r>
        <w:rPr>
          <w:rFonts w:ascii="Times New Roman" w:eastAsia="Times New Roman" w:hAnsi="Times New Roman" w:cs="Times New Roman"/>
          <w:lang w:val="en-GB"/>
        </w:rPr>
        <w:t xml:space="preserve"> </w:t>
      </w:r>
    </w:p>
    <w:p w:rsidR="00064D97" w:rsidRDefault="004F3231">
      <w:pPr>
        <w:autoSpaceDE/>
        <w:adjustRightInd/>
        <w:spacing w:after="0" w:line="240" w:lineRule="auto"/>
        <w:jc w:val="both"/>
        <w:rPr>
          <w:rFonts w:ascii="Times New Roman" w:eastAsia="Times New Roman" w:hAnsi="Times New Roman" w:cs="Times New Roman"/>
        </w:rPr>
      </w:pPr>
    </w:p>
    <w:p w:rsidR="00064D97" w:rsidRDefault="002F144E">
      <w:pPr>
        <w:widowControl/>
        <w:autoSpaceDE/>
        <w:autoSpaceDN/>
        <w:adjustRightInd/>
        <w:spacing w:after="0" w:line="240" w:lineRule="auto"/>
        <w:jc w:val="both"/>
        <w:rPr>
          <w:rFonts w:ascii="Times New Roman" w:eastAsia="Times New Roman" w:hAnsi="Times New Roman" w:cs="Times New Roman"/>
          <w:i/>
          <w:lang w:val="en-GB"/>
        </w:rPr>
      </w:pPr>
      <w:r>
        <w:rPr>
          <w:rFonts w:ascii="Times New Roman" w:eastAsia="Times New Roman" w:hAnsi="Times New Roman" w:cs="Times New Roman"/>
          <w:i/>
          <w:lang w:val="en-GB"/>
        </w:rPr>
        <w:t xml:space="preserve">Research and Development Expenses: </w:t>
      </w:r>
    </w:p>
    <w:p w:rsidR="00064D97" w:rsidRDefault="004F3231">
      <w:pPr>
        <w:widowControl/>
        <w:autoSpaceDE/>
        <w:autoSpaceDN/>
        <w:adjustRightInd/>
        <w:spacing w:after="0" w:line="240" w:lineRule="auto"/>
        <w:jc w:val="both"/>
        <w:rPr>
          <w:rFonts w:ascii="Times New Roman" w:eastAsia="Times New Roman" w:hAnsi="Times New Roman" w:cs="Times New Roman"/>
          <w:lang w:val="en-GB"/>
        </w:rPr>
      </w:pPr>
    </w:p>
    <w:p w:rsidR="00064D97" w:rsidRDefault="002F144E">
      <w:pPr>
        <w:widowControl/>
        <w:autoSpaceDE/>
        <w:autoSpaceDN/>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Research and development (R&amp;D) expenses were $46.9 million for the first quarter of 2018, compared to $54.8 million for the first quarter of 2017.  The $7.9 million decrease resulted primarily from decreases of approximately $6.1 million for stock-based compensation and $4.0 million for clinical trial expenses, partially</w:t>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lang w:val="en-GB"/>
        </w:rPr>
        <w:t>offset by an increase of $2.2 million for payroll and related costs in medical affairs and commercial quality assurance.  For our existing clinical trials, we expect R&amp;D expenses to decrease in subsequent quarters as clinical trials continue to wind down.</w:t>
      </w:r>
    </w:p>
    <w:p w:rsidR="00064D97" w:rsidRDefault="004F3231">
      <w:pPr>
        <w:spacing w:after="0" w:line="240" w:lineRule="auto"/>
        <w:jc w:val="both"/>
        <w:rPr>
          <w:rFonts w:ascii="Times New Roman" w:eastAsia="Arial" w:hAnsi="Times New Roman" w:cs="Times New Roman"/>
          <w:b/>
          <w:bCs/>
        </w:rPr>
      </w:pPr>
    </w:p>
    <w:p w:rsidR="00064D97" w:rsidRDefault="002F144E">
      <w:pPr>
        <w:spacing w:after="0" w:line="240" w:lineRule="auto"/>
        <w:jc w:val="both"/>
        <w:rPr>
          <w:rFonts w:ascii="Times New Roman" w:eastAsia="Arial" w:hAnsi="Times New Roman" w:cs="Times New Roman"/>
          <w:b/>
          <w:bCs/>
        </w:rPr>
      </w:pPr>
      <w:r>
        <w:rPr>
          <w:rFonts w:ascii="Times New Roman" w:eastAsia="Arial" w:hAnsi="Times New Roman" w:cs="Times New Roman"/>
          <w:b/>
          <w:bCs/>
        </w:rPr>
        <w:t>Conference Call</w:t>
      </w:r>
    </w:p>
    <w:p w:rsidR="00064D97" w:rsidRDefault="004F3231">
      <w:pPr>
        <w:spacing w:after="0" w:line="240" w:lineRule="auto"/>
        <w:jc w:val="both"/>
        <w:rPr>
          <w:rFonts w:ascii="Times New Roman" w:eastAsia="Arial" w:hAnsi="Times New Roman" w:cs="Times New Roman"/>
          <w:b/>
          <w:bCs/>
        </w:rPr>
      </w:pPr>
    </w:p>
    <w:p w:rsidR="00064D97" w:rsidRDefault="002F144E">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Puma Biotechnology will host a conference call </w:t>
      </w:r>
      <w:r>
        <w:rPr>
          <w:rFonts w:ascii="Times New Roman" w:eastAsia="PMingLiU" w:hAnsi="Times New Roman" w:cs="Times New Roman"/>
          <w:color w:val="000000" w:themeColor="text1"/>
        </w:rPr>
        <w:t xml:space="preserve">to report its first quarter 2018 financial results and provide an update on the company's business and outlook </w:t>
      </w:r>
      <w:r>
        <w:rPr>
          <w:rFonts w:ascii="Times New Roman" w:eastAsia="Times New Roman" w:hAnsi="Times New Roman" w:cs="Times New Roman"/>
        </w:rPr>
        <w:t>at 1:30 p.m. P</w:t>
      </w:r>
      <w:r w:rsidR="00104D2D">
        <w:rPr>
          <w:rFonts w:ascii="Times New Roman" w:eastAsia="Times New Roman" w:hAnsi="Times New Roman" w:cs="Times New Roman"/>
        </w:rPr>
        <w:t>DT/4:30 p.m. ED</w:t>
      </w:r>
      <w:r>
        <w:rPr>
          <w:rFonts w:ascii="Times New Roman" w:eastAsia="Times New Roman" w:hAnsi="Times New Roman" w:cs="Times New Roman"/>
        </w:rPr>
        <w:t xml:space="preserve">T on Wednesday, May 9, 2018. The call may be accessed by dialing 1-877-709-8150 (domestic) or 1-201-689-8354 (international) at least 10 minutes prior to the start of the call and referencing the “Puma </w:t>
      </w:r>
      <w:r>
        <w:rPr>
          <w:rFonts w:ascii="Times New Roman" w:eastAsia="Times New Roman" w:hAnsi="Times New Roman" w:cs="Times New Roman"/>
        </w:rPr>
        <w:lastRenderedPageBreak/>
        <w:t>Biotechnology Conference Call.” A live webcast of the conference call and presentation slides may be accessed on the Investors section of the Puma Biotechnology website at</w:t>
      </w:r>
      <w:r>
        <w:rPr>
          <w:rFonts w:eastAsia="PMingLiU"/>
        </w:rPr>
        <w:t xml:space="preserve"> </w:t>
      </w:r>
      <w:hyperlink r:id="rId7" w:history="1">
        <w:r>
          <w:rPr>
            <w:rFonts w:ascii="Times New Roman" w:eastAsia="Times New Roman" w:hAnsi="Times New Roman" w:cs="Times New Roman"/>
            <w:color w:val="0000FF"/>
            <w:u w:val="single"/>
          </w:rPr>
          <w:t>http://www.pumabiotechnology.com/</w:t>
        </w:r>
      </w:hyperlink>
      <w:r>
        <w:rPr>
          <w:rFonts w:ascii="Times New Roman" w:eastAsia="Times New Roman" w:hAnsi="Times New Roman" w:cs="Times New Roman"/>
        </w:rPr>
        <w:t xml:space="preserve">. A replay of the call will be available approximately one hour after completion of the call and will be archived on the company's website for 90 days. </w:t>
      </w:r>
    </w:p>
    <w:p w:rsidR="00064D97" w:rsidRDefault="004F3231">
      <w:pPr>
        <w:widowControl/>
        <w:autoSpaceDE/>
        <w:autoSpaceDN/>
        <w:adjustRightInd/>
        <w:spacing w:after="0" w:line="240" w:lineRule="auto"/>
        <w:jc w:val="both"/>
        <w:rPr>
          <w:rFonts w:ascii="Times New Roman" w:eastAsia="Times New Roman" w:hAnsi="Times New Roman" w:cs="Times New Roman"/>
          <w:lang w:val="en-GB"/>
        </w:rPr>
      </w:pPr>
    </w:p>
    <w:p w:rsidR="00064D97" w:rsidRDefault="002F144E">
      <w:pPr>
        <w:autoSpaceDE/>
        <w:autoSpaceDN/>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w:t>
      </w:r>
      <w:r>
        <w:rPr>
          <w:rFonts w:ascii="Times New Roman" w:eastAsia="Times New Roman" w:hAnsi="Times New Roman" w:cs="Times New Roman"/>
          <w:b/>
          <w:spacing w:val="-1"/>
        </w:rPr>
        <w:t>o</w:t>
      </w:r>
      <w:r>
        <w:rPr>
          <w:rFonts w:ascii="Times New Roman" w:eastAsia="Times New Roman" w:hAnsi="Times New Roman" w:cs="Times New Roman"/>
          <w:b/>
        </w:rPr>
        <w:t>ut Puma Biotechnology</w:t>
      </w:r>
    </w:p>
    <w:p w:rsidR="00064D97" w:rsidRDefault="004F3231">
      <w:pPr>
        <w:autoSpaceDE/>
        <w:autoSpaceDN/>
        <w:adjustRightInd/>
        <w:spacing w:after="0" w:line="240" w:lineRule="auto"/>
        <w:jc w:val="both"/>
        <w:rPr>
          <w:rFonts w:ascii="Times New Roman" w:eastAsia="Times New Roman" w:hAnsi="Times New Roman" w:cs="Times New Roman"/>
        </w:rPr>
      </w:pPr>
    </w:p>
    <w:p w:rsidR="00064D97" w:rsidRDefault="002F144E">
      <w:pPr>
        <w:spacing w:after="0" w:line="240" w:lineRule="auto"/>
        <w:jc w:val="both"/>
        <w:rPr>
          <w:rFonts w:ascii="Times New Roman" w:hAnsi="Times New Roman" w:cs="Times New Roman"/>
          <w:szCs w:val="24"/>
          <w:lang w:val="en-GB"/>
        </w:rPr>
      </w:pPr>
      <w:r>
        <w:rPr>
          <w:rFonts w:ascii="Times New Roman" w:hAnsi="Times New Roman" w:cs="Times New Roman"/>
          <w:color w:val="000000"/>
        </w:rPr>
        <w:t xml:space="preserve">Puma Biotechnology, Inc. is a biopharmaceutical company with a focus on the development and commercialization of innovative products to enhance cancer care.  </w:t>
      </w:r>
      <w:proofErr w:type="gramStart"/>
      <w:r>
        <w:rPr>
          <w:rFonts w:ascii="Times New Roman" w:hAnsi="Times New Roman" w:cs="Times New Roman"/>
          <w:color w:val="000000"/>
        </w:rPr>
        <w:t>The Company in-licenses the global development and commercialization rights to three drug candidates — PB272 (neratinib, oral), PB272 (neratinib, intravenous) and PB357.</w:t>
      </w:r>
      <w:proofErr w:type="gramEnd"/>
      <w:r>
        <w:rPr>
          <w:rFonts w:ascii="Times New Roman" w:hAnsi="Times New Roman" w:cs="Times New Roman"/>
          <w:color w:val="000000"/>
        </w:rPr>
        <w:t xml:space="preserve">  </w:t>
      </w:r>
      <w:r>
        <w:rPr>
          <w:rFonts w:ascii="Times New Roman" w:hAnsi="Times New Roman" w:cs="Times New Roman"/>
          <w:lang w:val="en-GB"/>
        </w:rPr>
        <w:t xml:space="preserve">Neratinib, oral was approved by the U.S. Food and Drug Administration in July 2017 for the extended adjuvant treatment of adult patients with early stage HER2-overexpressed/amplified breast cancer, following adjuvant trastuzumab-based therapy, and is marketed in the United States as NERLYNX® (neratinib) tablets. </w:t>
      </w:r>
      <w:r>
        <w:rPr>
          <w:rFonts w:ascii="Times New Roman" w:hAnsi="Times New Roman" w:cs="Times New Roman"/>
          <w:szCs w:val="24"/>
        </w:rPr>
        <w:t>NERLYNX is a registered trademark of Puma Biotechnology, Inc.</w:t>
      </w:r>
    </w:p>
    <w:p w:rsidR="00064D97" w:rsidRDefault="004F3231">
      <w:pPr>
        <w:autoSpaceDE/>
        <w:autoSpaceDN/>
        <w:adjustRightInd/>
        <w:spacing w:after="0" w:line="240" w:lineRule="auto"/>
        <w:jc w:val="both"/>
        <w:rPr>
          <w:rFonts w:ascii="Times New Roman" w:eastAsia="Times New Roman" w:hAnsi="Times New Roman" w:cs="Times New Roman"/>
        </w:rPr>
      </w:pPr>
    </w:p>
    <w:p w:rsidR="00064D97" w:rsidRDefault="002F144E">
      <w:pPr>
        <w:autoSpaceDE/>
        <w:autoSpaceDN/>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Further information about Puma Biotechnology may be found at </w:t>
      </w:r>
      <w:hyperlink r:id="rId8" w:history="1">
        <w:r>
          <w:rPr>
            <w:rStyle w:val="Hyperlink"/>
            <w:rFonts w:ascii="Times New Roman" w:eastAsia="Times New Roman" w:hAnsi="Times New Roman" w:cs="Times New Roman"/>
          </w:rPr>
          <w:t>www.pumabiotechnology.com</w:t>
        </w:r>
      </w:hyperlink>
      <w:r>
        <w:rPr>
          <w:rFonts w:ascii="Times New Roman" w:eastAsia="Times New Roman" w:hAnsi="Times New Roman" w:cs="Times New Roman"/>
        </w:rPr>
        <w:t>.</w:t>
      </w:r>
    </w:p>
    <w:p w:rsidR="00064D97" w:rsidRDefault="004F3231">
      <w:pPr>
        <w:autoSpaceDE/>
        <w:autoSpaceDN/>
        <w:adjustRightInd/>
        <w:spacing w:after="0" w:line="240" w:lineRule="auto"/>
        <w:jc w:val="both"/>
        <w:rPr>
          <w:rFonts w:ascii="Times New Roman" w:eastAsia="Times New Roman" w:hAnsi="Times New Roman" w:cs="Times New Roman"/>
        </w:rPr>
      </w:pPr>
    </w:p>
    <w:p w:rsidR="00064D97" w:rsidRDefault="002F144E">
      <w:pPr>
        <w:spacing w:after="0" w:line="240" w:lineRule="auto"/>
        <w:jc w:val="both"/>
        <w:rPr>
          <w:rFonts w:ascii="Times New Roman" w:eastAsia="PMingLiU" w:hAnsi="Times New Roman" w:cs="Times New Roman"/>
          <w:b/>
        </w:rPr>
      </w:pPr>
      <w:r>
        <w:rPr>
          <w:rFonts w:ascii="Times New Roman" w:eastAsia="PMingLiU" w:hAnsi="Times New Roman" w:cs="Times New Roman"/>
          <w:b/>
        </w:rPr>
        <w:t>IMPORTANT SAFETY INFORMATION</w:t>
      </w:r>
    </w:p>
    <w:p w:rsidR="00064D97" w:rsidRDefault="004F3231">
      <w:pPr>
        <w:spacing w:after="0" w:line="240" w:lineRule="auto"/>
        <w:jc w:val="both"/>
        <w:rPr>
          <w:rFonts w:ascii="Times New Roman" w:eastAsia="PMingLiU" w:hAnsi="Times New Roman" w:cs="Times New Roman"/>
        </w:rPr>
      </w:pPr>
    </w:p>
    <w:p w:rsidR="00064D97" w:rsidRDefault="002F144E">
      <w:pPr>
        <w:spacing w:after="0" w:line="240" w:lineRule="auto"/>
        <w:jc w:val="both"/>
        <w:rPr>
          <w:rFonts w:ascii="Times New Roman" w:eastAsia="PMingLiU" w:hAnsi="Times New Roman" w:cs="Times New Roman"/>
        </w:rPr>
      </w:pPr>
      <w:r>
        <w:rPr>
          <w:rFonts w:ascii="Times New Roman" w:eastAsia="PMingLiU" w:hAnsi="Times New Roman" w:cs="Times New Roman"/>
          <w:b/>
          <w:bCs/>
        </w:rPr>
        <w:t>NERLYNX</w:t>
      </w:r>
      <w:r>
        <w:rPr>
          <w:rFonts w:ascii="Times New Roman" w:eastAsia="PMingLiU" w:hAnsi="Times New Roman" w:cs="Times New Roman"/>
          <w:b/>
          <w:bCs/>
          <w:sz w:val="24"/>
          <w:szCs w:val="24"/>
          <w:vertAlign w:val="superscript"/>
        </w:rPr>
        <w:t>®</w:t>
      </w:r>
      <w:r>
        <w:rPr>
          <w:rFonts w:ascii="Times New Roman" w:eastAsia="PMingLiU" w:hAnsi="Times New Roman" w:cs="Times New Roman"/>
          <w:b/>
          <w:bCs/>
        </w:rPr>
        <w:t xml:space="preserve"> (neratinib) tablets, for oral use</w:t>
      </w:r>
    </w:p>
    <w:p w:rsidR="00064D97" w:rsidRDefault="004F3231">
      <w:pPr>
        <w:spacing w:after="0" w:line="240" w:lineRule="auto"/>
        <w:jc w:val="both"/>
        <w:rPr>
          <w:rFonts w:ascii="Times New Roman" w:eastAsia="PMingLiU" w:hAnsi="Times New Roman" w:cs="Times New Roman"/>
        </w:rPr>
      </w:pPr>
    </w:p>
    <w:p w:rsidR="00064D97" w:rsidRDefault="002F144E">
      <w:pPr>
        <w:spacing w:after="0" w:line="240" w:lineRule="auto"/>
        <w:jc w:val="both"/>
        <w:rPr>
          <w:rFonts w:ascii="Times New Roman" w:eastAsia="PMingLiU" w:hAnsi="Times New Roman" w:cs="Times New Roman"/>
          <w:color w:val="000000"/>
        </w:rPr>
      </w:pPr>
      <w:r>
        <w:rPr>
          <w:rFonts w:ascii="Times New Roman" w:eastAsia="PMingLiU" w:hAnsi="Times New Roman" w:cs="Times New Roman"/>
          <w:b/>
          <w:color w:val="000000"/>
        </w:rPr>
        <w:t>INDICATIONS AND USAGE:</w:t>
      </w:r>
      <w:r>
        <w:rPr>
          <w:rFonts w:ascii="Times New Roman" w:eastAsia="PMingLiU" w:hAnsi="Times New Roman" w:cs="Times New Roman"/>
          <w:color w:val="000000"/>
        </w:rPr>
        <w:t xml:space="preserve">  NERLYNX is a kinase inhibitor indicated for the extended adjuvant treatment of adult patients with early stage HER2 overexpressed/amplified breast cancer, to follow adjuvant trastuzumab-based therapy.</w:t>
      </w:r>
    </w:p>
    <w:p w:rsidR="00064D97" w:rsidRDefault="004F3231">
      <w:pPr>
        <w:spacing w:after="0" w:line="240" w:lineRule="auto"/>
        <w:jc w:val="both"/>
        <w:rPr>
          <w:rFonts w:ascii="Times New Roman" w:eastAsia="PMingLiU" w:hAnsi="Times New Roman" w:cs="Times New Roman"/>
          <w:color w:val="000000"/>
        </w:rPr>
      </w:pPr>
    </w:p>
    <w:p w:rsidR="00064D97" w:rsidRDefault="002F144E">
      <w:pPr>
        <w:spacing w:after="0" w:line="240" w:lineRule="auto"/>
        <w:jc w:val="both"/>
        <w:rPr>
          <w:rFonts w:ascii="Times New Roman" w:eastAsia="PMingLiU" w:hAnsi="Times New Roman" w:cs="Times New Roman"/>
          <w:color w:val="000000"/>
        </w:rPr>
      </w:pPr>
      <w:r>
        <w:rPr>
          <w:rFonts w:ascii="Times New Roman" w:eastAsia="PMingLiU" w:hAnsi="Times New Roman" w:cs="Times New Roman"/>
          <w:b/>
          <w:color w:val="000000"/>
        </w:rPr>
        <w:t>CONTRAINDICATIONS:</w:t>
      </w:r>
      <w:r>
        <w:rPr>
          <w:rFonts w:ascii="Times New Roman" w:eastAsia="PMingLiU" w:hAnsi="Times New Roman" w:cs="Times New Roman"/>
          <w:color w:val="000000"/>
        </w:rPr>
        <w:t xml:space="preserve">  None</w:t>
      </w:r>
    </w:p>
    <w:p w:rsidR="00064D97" w:rsidRDefault="004F3231">
      <w:pPr>
        <w:spacing w:after="0" w:line="240" w:lineRule="auto"/>
        <w:jc w:val="both"/>
        <w:rPr>
          <w:rFonts w:ascii="Times New Roman" w:eastAsia="PMingLiU" w:hAnsi="Times New Roman" w:cs="Times New Roman"/>
          <w:color w:val="000000"/>
        </w:rPr>
      </w:pPr>
    </w:p>
    <w:p w:rsidR="00064D97" w:rsidRDefault="002F144E">
      <w:pPr>
        <w:spacing w:after="0" w:line="240" w:lineRule="auto"/>
        <w:jc w:val="both"/>
        <w:rPr>
          <w:rFonts w:ascii="Times New Roman" w:eastAsia="PMingLiU" w:hAnsi="Times New Roman" w:cs="Times New Roman"/>
          <w:b/>
          <w:color w:val="000000"/>
        </w:rPr>
      </w:pPr>
      <w:r>
        <w:rPr>
          <w:rFonts w:ascii="Times New Roman" w:eastAsia="PMingLiU" w:hAnsi="Times New Roman" w:cs="Times New Roman"/>
          <w:b/>
          <w:color w:val="000000"/>
        </w:rPr>
        <w:t>WARNINGS AND PRECAUTIONS:</w:t>
      </w:r>
    </w:p>
    <w:p w:rsidR="00064D97" w:rsidRDefault="002F144E">
      <w:pPr>
        <w:spacing w:after="0" w:line="240" w:lineRule="auto"/>
        <w:jc w:val="both"/>
        <w:rPr>
          <w:rFonts w:ascii="Times New Roman" w:eastAsia="PMingLiU" w:hAnsi="Times New Roman" w:cs="Times New Roman"/>
          <w:color w:val="000000"/>
        </w:rPr>
      </w:pPr>
      <w:r>
        <w:rPr>
          <w:rFonts w:ascii="Times New Roman" w:eastAsia="PMingLiU" w:hAnsi="Times New Roman" w:cs="Times New Roman"/>
          <w:color w:val="000000"/>
        </w:rPr>
        <w:t xml:space="preserve">• </w:t>
      </w:r>
      <w:r>
        <w:rPr>
          <w:rFonts w:ascii="Times New Roman" w:eastAsia="PMingLiU" w:hAnsi="Times New Roman" w:cs="Times New Roman"/>
          <w:b/>
          <w:color w:val="000000"/>
        </w:rPr>
        <w:t>Diarrhea:</w:t>
      </w:r>
      <w:r>
        <w:rPr>
          <w:rFonts w:ascii="Times New Roman" w:eastAsia="PMingLiU" w:hAnsi="Times New Roman" w:cs="Times New Roman"/>
          <w:color w:val="000000"/>
        </w:rPr>
        <w:t xml:space="preserve"> Aggressively manage diarrhea occurring despite recommended prophylaxis with additional </w:t>
      </w:r>
      <w:proofErr w:type="spellStart"/>
      <w:r>
        <w:rPr>
          <w:rFonts w:ascii="Times New Roman" w:eastAsia="PMingLiU" w:hAnsi="Times New Roman" w:cs="Times New Roman"/>
          <w:color w:val="000000"/>
        </w:rPr>
        <w:t>antidiarrheals</w:t>
      </w:r>
      <w:proofErr w:type="spellEnd"/>
      <w:r>
        <w:rPr>
          <w:rFonts w:ascii="Times New Roman" w:eastAsia="PMingLiU" w:hAnsi="Times New Roman" w:cs="Times New Roman"/>
          <w:color w:val="000000"/>
        </w:rPr>
        <w:t xml:space="preserve">, fluids, and electrolytes as clinically indicated.  Withhold NERLYNX in patients experiencing severe and/or persistent diarrhea.  Permanently discontinue NERLYNX in patients experiencing Grade 4 diarrhea or Grade ≥ 2 </w:t>
      </w:r>
      <w:proofErr w:type="gramStart"/>
      <w:r>
        <w:rPr>
          <w:rFonts w:ascii="Times New Roman" w:eastAsia="PMingLiU" w:hAnsi="Times New Roman" w:cs="Times New Roman"/>
          <w:color w:val="000000"/>
        </w:rPr>
        <w:t>diarrhea</w:t>
      </w:r>
      <w:proofErr w:type="gramEnd"/>
      <w:r>
        <w:rPr>
          <w:rFonts w:ascii="Times New Roman" w:eastAsia="PMingLiU" w:hAnsi="Times New Roman" w:cs="Times New Roman"/>
          <w:color w:val="000000"/>
        </w:rPr>
        <w:t xml:space="preserve"> that occurs after maximal dose reduction.</w:t>
      </w:r>
    </w:p>
    <w:p w:rsidR="00064D97" w:rsidRDefault="004F3231">
      <w:pPr>
        <w:spacing w:after="0" w:line="240" w:lineRule="auto"/>
        <w:jc w:val="both"/>
        <w:rPr>
          <w:rFonts w:ascii="Times New Roman" w:eastAsia="PMingLiU" w:hAnsi="Times New Roman" w:cs="Times New Roman"/>
          <w:color w:val="000000"/>
        </w:rPr>
      </w:pPr>
    </w:p>
    <w:p w:rsidR="00064D97" w:rsidRDefault="002F144E">
      <w:pPr>
        <w:spacing w:after="0" w:line="240" w:lineRule="auto"/>
        <w:jc w:val="both"/>
        <w:rPr>
          <w:rFonts w:ascii="Times New Roman" w:eastAsia="PMingLiU" w:hAnsi="Times New Roman" w:cs="Times New Roman"/>
          <w:color w:val="000000"/>
        </w:rPr>
      </w:pPr>
      <w:r>
        <w:rPr>
          <w:rFonts w:ascii="Times New Roman" w:eastAsia="PMingLiU" w:hAnsi="Times New Roman" w:cs="Times New Roman"/>
          <w:color w:val="000000"/>
        </w:rPr>
        <w:t xml:space="preserve">• </w:t>
      </w:r>
      <w:r>
        <w:rPr>
          <w:rFonts w:ascii="Times New Roman" w:eastAsia="PMingLiU" w:hAnsi="Times New Roman" w:cs="Times New Roman"/>
          <w:b/>
          <w:color w:val="000000"/>
        </w:rPr>
        <w:t>Hepatotoxicity:</w:t>
      </w:r>
      <w:r>
        <w:rPr>
          <w:rFonts w:ascii="Times New Roman" w:eastAsia="PMingLiU" w:hAnsi="Times New Roman" w:cs="Times New Roman"/>
          <w:color w:val="000000"/>
        </w:rPr>
        <w:t xml:space="preserve"> Monitor liver function tests monthly for the first 3 months of treatment, then every </w:t>
      </w:r>
    </w:p>
    <w:p w:rsidR="00064D97" w:rsidRDefault="002F144E">
      <w:pPr>
        <w:spacing w:after="0" w:line="240" w:lineRule="auto"/>
        <w:jc w:val="both"/>
        <w:rPr>
          <w:rFonts w:ascii="Times New Roman" w:eastAsia="PMingLiU" w:hAnsi="Times New Roman" w:cs="Times New Roman"/>
          <w:color w:val="000000"/>
        </w:rPr>
      </w:pPr>
      <w:r>
        <w:rPr>
          <w:rFonts w:ascii="Times New Roman" w:eastAsia="PMingLiU" w:hAnsi="Times New Roman" w:cs="Times New Roman"/>
          <w:color w:val="000000"/>
        </w:rPr>
        <w:t>3 months while on treatment and as clinically indicated.  Withhold NERLYNX in patients experiencing Grade 3 liver abnormalities and permanently discontinue NERLYNX in patients experiencing Grade 4 liver abnormalities.</w:t>
      </w:r>
    </w:p>
    <w:p w:rsidR="00064D97" w:rsidRDefault="004F3231">
      <w:pPr>
        <w:spacing w:after="0" w:line="240" w:lineRule="auto"/>
        <w:jc w:val="both"/>
        <w:rPr>
          <w:rFonts w:ascii="Times New Roman" w:eastAsia="PMingLiU" w:hAnsi="Times New Roman" w:cs="Times New Roman"/>
          <w:color w:val="000000"/>
        </w:rPr>
      </w:pPr>
    </w:p>
    <w:p w:rsidR="00064D97" w:rsidRDefault="002F144E">
      <w:pPr>
        <w:spacing w:after="0" w:line="240" w:lineRule="auto"/>
        <w:jc w:val="both"/>
        <w:rPr>
          <w:rFonts w:ascii="Times New Roman" w:eastAsia="PMingLiU" w:hAnsi="Times New Roman" w:cs="Times New Roman"/>
        </w:rPr>
      </w:pPr>
      <w:r>
        <w:rPr>
          <w:rFonts w:ascii="Times New Roman" w:eastAsia="PMingLiU" w:hAnsi="Times New Roman" w:cs="Times New Roman"/>
          <w:color w:val="000000"/>
        </w:rPr>
        <w:t xml:space="preserve">• </w:t>
      </w:r>
      <w:r>
        <w:rPr>
          <w:rFonts w:ascii="Times New Roman" w:eastAsia="PMingLiU" w:hAnsi="Times New Roman" w:cs="Times New Roman"/>
          <w:b/>
          <w:color w:val="000000"/>
        </w:rPr>
        <w:t>Embryo-Fetal Toxicity:</w:t>
      </w:r>
      <w:r>
        <w:rPr>
          <w:rFonts w:ascii="Times New Roman" w:eastAsia="PMingLiU" w:hAnsi="Times New Roman" w:cs="Times New Roman"/>
          <w:color w:val="000000"/>
        </w:rPr>
        <w:t xml:space="preserve"> NERLYNX can cause fetal harm.  Advise patients of potential risk to a fetus and to use effective contraception.</w:t>
      </w:r>
    </w:p>
    <w:p w:rsidR="00064D97" w:rsidRDefault="004F3231">
      <w:pPr>
        <w:spacing w:after="0" w:line="240" w:lineRule="auto"/>
        <w:jc w:val="both"/>
        <w:rPr>
          <w:rFonts w:ascii="Times New Roman" w:eastAsia="PMingLiU" w:hAnsi="Times New Roman" w:cs="Times New Roman"/>
        </w:rPr>
      </w:pPr>
    </w:p>
    <w:p w:rsidR="00064D97" w:rsidRDefault="002F144E">
      <w:pPr>
        <w:spacing w:after="0" w:line="240" w:lineRule="auto"/>
        <w:jc w:val="both"/>
        <w:rPr>
          <w:rFonts w:ascii="Times New Roman" w:eastAsia="PMingLiU" w:hAnsi="Times New Roman" w:cs="Times New Roman"/>
          <w:b/>
        </w:rPr>
      </w:pPr>
      <w:r>
        <w:rPr>
          <w:rFonts w:ascii="Times New Roman" w:eastAsia="PMingLiU" w:hAnsi="Times New Roman" w:cs="Times New Roman"/>
          <w:b/>
        </w:rPr>
        <w:t xml:space="preserve">ADVERSE REACTIONS: </w:t>
      </w:r>
      <w:r>
        <w:rPr>
          <w:rFonts w:ascii="Times New Roman" w:eastAsia="PMingLiU" w:hAnsi="Times New Roman" w:cs="Times New Roman"/>
        </w:rPr>
        <w:t>The most common adverse reactions (≥ 5%) were diarrhea, nausea,   abdominal pain, fatigue, vomiting, rash, stomatitis, decreased appetite, muscle spasms, dyspepsia, AST or ALT increase, nail disorder, dry skin, abdominal distention, epistaxis, weight decreased and urinary tract infection.</w:t>
      </w:r>
    </w:p>
    <w:p w:rsidR="00064D97" w:rsidRDefault="004F3231">
      <w:pPr>
        <w:spacing w:after="0" w:line="240" w:lineRule="auto"/>
        <w:jc w:val="both"/>
        <w:rPr>
          <w:rFonts w:ascii="Times New Roman" w:eastAsia="PMingLiU" w:hAnsi="Times New Roman" w:cs="Times New Roman"/>
        </w:rPr>
      </w:pPr>
    </w:p>
    <w:p w:rsidR="00064D97" w:rsidRDefault="002F144E">
      <w:pPr>
        <w:spacing w:after="0" w:line="240" w:lineRule="auto"/>
        <w:jc w:val="both"/>
        <w:rPr>
          <w:rFonts w:ascii="Times New Roman" w:eastAsia="PMingLiU" w:hAnsi="Times New Roman" w:cs="Times New Roman"/>
          <w:b/>
          <w:bCs/>
          <w:color w:val="000000"/>
        </w:rPr>
      </w:pPr>
      <w:r>
        <w:rPr>
          <w:rFonts w:ascii="Times New Roman" w:eastAsia="PMingLiU" w:hAnsi="Times New Roman" w:cs="Times New Roman"/>
          <w:b/>
          <w:bCs/>
          <w:color w:val="000000"/>
        </w:rPr>
        <w:t xml:space="preserve">To report SUSPECTED ADVERSE REACTIONS, contact Puma Biotechnology, Inc. at </w:t>
      </w:r>
    </w:p>
    <w:p w:rsidR="00064D97" w:rsidRDefault="002F144E">
      <w:pPr>
        <w:spacing w:after="0" w:line="240" w:lineRule="auto"/>
        <w:jc w:val="both"/>
        <w:rPr>
          <w:rFonts w:ascii="Times New Roman" w:eastAsia="PMingLiU" w:hAnsi="Times New Roman" w:cs="Times New Roman"/>
          <w:b/>
          <w:bCs/>
          <w:color w:val="000000"/>
        </w:rPr>
      </w:pPr>
      <w:proofErr w:type="gramStart"/>
      <w:r>
        <w:rPr>
          <w:rFonts w:ascii="Times New Roman" w:eastAsia="PMingLiU" w:hAnsi="Times New Roman" w:cs="Times New Roman"/>
          <w:b/>
          <w:bCs/>
          <w:color w:val="000000"/>
        </w:rPr>
        <w:t xml:space="preserve">1-844-NERLYNX (1-844-637-5969) and www.NERLYNX.com or FDA at 1-800-FDA-1088 or </w:t>
      </w:r>
      <w:r>
        <w:rPr>
          <w:rFonts w:ascii="Times New Roman" w:eastAsia="PMingLiU" w:hAnsi="Times New Roman" w:cs="Times New Roman"/>
          <w:b/>
          <w:bCs/>
          <w:i/>
          <w:iCs/>
          <w:color w:val="000000"/>
        </w:rPr>
        <w:t>www.fda.gov/medwatch</w:t>
      </w:r>
      <w:r>
        <w:rPr>
          <w:rFonts w:ascii="Times New Roman" w:eastAsia="PMingLiU" w:hAnsi="Times New Roman" w:cs="Times New Roman"/>
          <w:b/>
          <w:bCs/>
          <w:color w:val="000000"/>
        </w:rPr>
        <w:t>.</w:t>
      </w:r>
      <w:proofErr w:type="gramEnd"/>
    </w:p>
    <w:p w:rsidR="00064D97" w:rsidRDefault="004F3231">
      <w:pPr>
        <w:spacing w:after="0" w:line="240" w:lineRule="auto"/>
        <w:jc w:val="both"/>
        <w:rPr>
          <w:rFonts w:ascii="Times New Roman" w:eastAsia="PMingLiU" w:hAnsi="Times New Roman" w:cs="Times New Roman"/>
          <w:b/>
          <w:bCs/>
          <w:color w:val="000000"/>
        </w:rPr>
      </w:pPr>
    </w:p>
    <w:p w:rsidR="00064D97" w:rsidRDefault="002F144E">
      <w:pPr>
        <w:spacing w:after="0" w:line="240" w:lineRule="auto"/>
        <w:jc w:val="both"/>
        <w:rPr>
          <w:rFonts w:ascii="Times New Roman" w:eastAsia="PMingLiU" w:hAnsi="Times New Roman" w:cs="Times New Roman"/>
          <w:b/>
          <w:bCs/>
          <w:color w:val="000000"/>
        </w:rPr>
      </w:pPr>
      <w:r>
        <w:rPr>
          <w:rFonts w:ascii="Times New Roman" w:eastAsia="PMingLiU" w:hAnsi="Times New Roman" w:cs="Times New Roman"/>
          <w:b/>
          <w:bCs/>
          <w:color w:val="000000"/>
        </w:rPr>
        <w:t>DRUG INTERACTIONS:</w:t>
      </w:r>
    </w:p>
    <w:p w:rsidR="00064D97" w:rsidRDefault="002F144E">
      <w:pPr>
        <w:widowControl/>
        <w:numPr>
          <w:ilvl w:val="0"/>
          <w:numId w:val="5"/>
        </w:numPr>
        <w:spacing w:after="0" w:line="240" w:lineRule="auto"/>
        <w:contextualSpacing/>
        <w:jc w:val="both"/>
        <w:rPr>
          <w:rFonts w:ascii="Times New Roman" w:eastAsiaTheme="minorEastAsia" w:hAnsi="Times New Roman" w:cs="Times New Roman"/>
          <w:bCs/>
          <w:color w:val="000000"/>
          <w:lang w:eastAsia="zh-TW"/>
        </w:rPr>
      </w:pPr>
      <w:r>
        <w:rPr>
          <w:rFonts w:ascii="Times New Roman" w:eastAsiaTheme="minorEastAsia" w:hAnsi="Times New Roman" w:cs="Times New Roman"/>
          <w:bCs/>
          <w:color w:val="000000"/>
          <w:lang w:eastAsia="zh-TW"/>
        </w:rPr>
        <w:lastRenderedPageBreak/>
        <w:t>Gastric acid reducing agents:  Avoid concomitant use with proton pump inhibitors (PPI) and H2-receptor antagonists.  Separate NERLYNX by 3 hours after antacid dosing.</w:t>
      </w:r>
    </w:p>
    <w:p w:rsidR="00064D97" w:rsidRDefault="002F144E">
      <w:pPr>
        <w:widowControl/>
        <w:numPr>
          <w:ilvl w:val="0"/>
          <w:numId w:val="5"/>
        </w:numPr>
        <w:spacing w:after="0" w:line="240" w:lineRule="auto"/>
        <w:contextualSpacing/>
        <w:jc w:val="both"/>
        <w:rPr>
          <w:rFonts w:ascii="Times New Roman" w:eastAsiaTheme="minorEastAsia" w:hAnsi="Times New Roman" w:cs="Times New Roman"/>
          <w:bCs/>
          <w:color w:val="000000"/>
          <w:lang w:eastAsia="zh-TW"/>
        </w:rPr>
      </w:pPr>
      <w:r>
        <w:rPr>
          <w:rFonts w:ascii="Times New Roman" w:eastAsiaTheme="minorEastAsia" w:hAnsi="Times New Roman" w:cs="Times New Roman"/>
          <w:bCs/>
          <w:color w:val="000000"/>
          <w:lang w:eastAsia="zh-TW"/>
        </w:rPr>
        <w:t xml:space="preserve">Strong or moderate CYP3A4 inhibitors:  Avoid concomitant use. </w:t>
      </w:r>
    </w:p>
    <w:p w:rsidR="00064D97" w:rsidRDefault="002F144E">
      <w:pPr>
        <w:widowControl/>
        <w:numPr>
          <w:ilvl w:val="0"/>
          <w:numId w:val="5"/>
        </w:numPr>
        <w:spacing w:after="0" w:line="240" w:lineRule="auto"/>
        <w:contextualSpacing/>
        <w:jc w:val="both"/>
        <w:rPr>
          <w:rFonts w:ascii="Times New Roman" w:eastAsiaTheme="minorEastAsia" w:hAnsi="Times New Roman" w:cs="Times New Roman"/>
          <w:bCs/>
          <w:color w:val="000000"/>
          <w:lang w:eastAsia="zh-TW"/>
        </w:rPr>
      </w:pPr>
      <w:r>
        <w:rPr>
          <w:rFonts w:ascii="Times New Roman" w:eastAsiaTheme="minorEastAsia" w:hAnsi="Times New Roman" w:cs="Times New Roman"/>
          <w:bCs/>
          <w:color w:val="000000"/>
          <w:lang w:eastAsia="zh-TW"/>
        </w:rPr>
        <w:t>Strong or moderate CYP3A4 inducers:  Avoid concomitant use.</w:t>
      </w:r>
    </w:p>
    <w:p w:rsidR="00064D97" w:rsidRDefault="002F144E">
      <w:pPr>
        <w:widowControl/>
        <w:numPr>
          <w:ilvl w:val="0"/>
          <w:numId w:val="5"/>
        </w:numPr>
        <w:spacing w:after="0" w:line="240" w:lineRule="auto"/>
        <w:contextualSpacing/>
        <w:jc w:val="both"/>
        <w:rPr>
          <w:rFonts w:ascii="Times New Roman" w:eastAsiaTheme="minorEastAsia" w:hAnsi="Times New Roman" w:cs="Times New Roman"/>
          <w:bCs/>
          <w:color w:val="000000"/>
          <w:lang w:eastAsia="zh-TW"/>
        </w:rPr>
      </w:pPr>
      <w:r>
        <w:rPr>
          <w:rFonts w:ascii="Times New Roman" w:eastAsiaTheme="minorEastAsia" w:hAnsi="Times New Roman" w:cs="Times New Roman"/>
          <w:bCs/>
          <w:color w:val="000000"/>
          <w:lang w:eastAsia="zh-TW"/>
        </w:rPr>
        <w:t>P-glycoprotein (P-</w:t>
      </w:r>
      <w:proofErr w:type="spellStart"/>
      <w:r>
        <w:rPr>
          <w:rFonts w:ascii="Times New Roman" w:eastAsiaTheme="minorEastAsia" w:hAnsi="Times New Roman" w:cs="Times New Roman"/>
          <w:bCs/>
          <w:color w:val="000000"/>
          <w:lang w:eastAsia="zh-TW"/>
        </w:rPr>
        <w:t>gp</w:t>
      </w:r>
      <w:proofErr w:type="spellEnd"/>
      <w:r>
        <w:rPr>
          <w:rFonts w:ascii="Times New Roman" w:eastAsiaTheme="minorEastAsia" w:hAnsi="Times New Roman" w:cs="Times New Roman"/>
          <w:bCs/>
          <w:color w:val="000000"/>
          <w:lang w:eastAsia="zh-TW"/>
        </w:rPr>
        <w:t>) substrates:  Monitor for adverse reactions of narrow therapeutic agents that are P-</w:t>
      </w:r>
      <w:proofErr w:type="spellStart"/>
      <w:r>
        <w:rPr>
          <w:rFonts w:ascii="Times New Roman" w:eastAsiaTheme="minorEastAsia" w:hAnsi="Times New Roman" w:cs="Times New Roman"/>
          <w:bCs/>
          <w:color w:val="000000"/>
          <w:lang w:eastAsia="zh-TW"/>
        </w:rPr>
        <w:t>gp</w:t>
      </w:r>
      <w:proofErr w:type="spellEnd"/>
      <w:r>
        <w:rPr>
          <w:rFonts w:ascii="Times New Roman" w:eastAsiaTheme="minorEastAsia" w:hAnsi="Times New Roman" w:cs="Times New Roman"/>
          <w:bCs/>
          <w:color w:val="000000"/>
          <w:lang w:eastAsia="zh-TW"/>
        </w:rPr>
        <w:t xml:space="preserve"> substrates when used concomitantly with NERLYNX. </w:t>
      </w:r>
    </w:p>
    <w:p w:rsidR="00064D97" w:rsidRDefault="004F3231">
      <w:pPr>
        <w:spacing w:after="0" w:line="240" w:lineRule="auto"/>
        <w:jc w:val="both"/>
        <w:rPr>
          <w:rFonts w:ascii="Times New Roman" w:eastAsia="PMingLiU" w:hAnsi="Times New Roman" w:cs="Times New Roman"/>
          <w:bCs/>
          <w:color w:val="000000"/>
        </w:rPr>
      </w:pPr>
    </w:p>
    <w:p w:rsidR="00064D97" w:rsidRDefault="002F144E">
      <w:pPr>
        <w:spacing w:after="0" w:line="240" w:lineRule="auto"/>
        <w:jc w:val="both"/>
        <w:rPr>
          <w:rFonts w:ascii="Times New Roman" w:eastAsia="PMingLiU" w:hAnsi="Times New Roman" w:cs="Times New Roman"/>
          <w:b/>
          <w:bCs/>
          <w:color w:val="000000"/>
        </w:rPr>
      </w:pPr>
      <w:r>
        <w:rPr>
          <w:rFonts w:ascii="Times New Roman" w:eastAsia="PMingLiU" w:hAnsi="Times New Roman" w:cs="Times New Roman"/>
          <w:b/>
          <w:bCs/>
          <w:color w:val="000000"/>
        </w:rPr>
        <w:t>USE IN SPECIFIC POPULATIONS:</w:t>
      </w:r>
    </w:p>
    <w:p w:rsidR="00064D97" w:rsidRDefault="002F144E">
      <w:pPr>
        <w:spacing w:after="0" w:line="240" w:lineRule="auto"/>
        <w:jc w:val="both"/>
        <w:rPr>
          <w:rFonts w:ascii="Times New Roman" w:eastAsia="PMingLiU" w:hAnsi="Times New Roman" w:cs="Times New Roman"/>
          <w:color w:val="000000"/>
        </w:rPr>
      </w:pPr>
      <w:r>
        <w:rPr>
          <w:rFonts w:ascii="Times New Roman" w:eastAsia="PMingLiU" w:hAnsi="Times New Roman" w:cs="Times New Roman"/>
          <w:color w:val="000000"/>
        </w:rPr>
        <w:t xml:space="preserve">• </w:t>
      </w:r>
      <w:r>
        <w:rPr>
          <w:rFonts w:ascii="Times New Roman" w:eastAsia="PMingLiU" w:hAnsi="Times New Roman" w:cs="Times New Roman"/>
          <w:b/>
          <w:color w:val="000000"/>
        </w:rPr>
        <w:t>Lactation:</w:t>
      </w:r>
      <w:r>
        <w:rPr>
          <w:rFonts w:ascii="Times New Roman" w:eastAsia="PMingLiU" w:hAnsi="Times New Roman" w:cs="Times New Roman"/>
          <w:color w:val="000000"/>
        </w:rPr>
        <w:t xml:space="preserve"> Advise women not to breastfeed. </w:t>
      </w:r>
    </w:p>
    <w:p w:rsidR="00064D97" w:rsidRDefault="004F3231">
      <w:pPr>
        <w:spacing w:after="0" w:line="240" w:lineRule="auto"/>
        <w:jc w:val="both"/>
        <w:rPr>
          <w:rFonts w:ascii="Times New Roman" w:eastAsia="PMingLiU" w:hAnsi="Times New Roman" w:cs="Times New Roman"/>
          <w:color w:val="000000" w:themeColor="text1"/>
        </w:rPr>
      </w:pPr>
    </w:p>
    <w:p w:rsidR="00064D97" w:rsidRDefault="002F144E">
      <w:pPr>
        <w:spacing w:after="0" w:line="240" w:lineRule="auto"/>
        <w:jc w:val="both"/>
        <w:rPr>
          <w:rFonts w:ascii="Times New Roman" w:eastAsia="PMingLiU" w:hAnsi="Times New Roman" w:cs="Times New Roman"/>
          <w:color w:val="000000" w:themeColor="text1"/>
        </w:rPr>
      </w:pPr>
      <w:r>
        <w:rPr>
          <w:rFonts w:ascii="Times New Roman" w:eastAsia="PMingLiU" w:hAnsi="Times New Roman" w:cs="Times New Roman"/>
          <w:color w:val="000000" w:themeColor="text1"/>
        </w:rPr>
        <w:t xml:space="preserve">Please see </w:t>
      </w:r>
      <w:hyperlink r:id="rId9" w:history="1">
        <w:r>
          <w:rPr>
            <w:rFonts w:ascii="Times New Roman" w:eastAsia="PMingLiU" w:hAnsi="Times New Roman" w:cs="Times New Roman"/>
            <w:color w:val="0000FF"/>
            <w:u w:val="single"/>
          </w:rPr>
          <w:t>Full Prescribing Information</w:t>
        </w:r>
      </w:hyperlink>
      <w:r>
        <w:rPr>
          <w:rFonts w:ascii="Times New Roman" w:eastAsia="PMingLiU" w:hAnsi="Times New Roman" w:cs="Times New Roman"/>
          <w:color w:val="000000" w:themeColor="text1"/>
        </w:rPr>
        <w:t xml:space="preserve"> for additional safety information. </w:t>
      </w:r>
    </w:p>
    <w:p w:rsidR="00064D97" w:rsidRDefault="004F3231">
      <w:pPr>
        <w:autoSpaceDE/>
        <w:autoSpaceDN/>
        <w:adjustRightInd/>
        <w:spacing w:after="0" w:line="240" w:lineRule="auto"/>
        <w:rPr>
          <w:rFonts w:ascii="Times New Roman" w:eastAsia="Times New Roman" w:hAnsi="Times New Roman" w:cs="Times New Roman"/>
          <w:b/>
        </w:rPr>
      </w:pPr>
    </w:p>
    <w:p w:rsidR="00064D97" w:rsidRDefault="002F144E">
      <w:pPr>
        <w:autoSpaceDE/>
        <w:autoSpaceDN/>
        <w:adjustRightInd/>
        <w:spacing w:after="0" w:line="240" w:lineRule="auto"/>
        <w:rPr>
          <w:rFonts w:ascii="Times New Roman" w:eastAsia="Times New Roman" w:hAnsi="Times New Roman" w:cs="Times New Roman"/>
        </w:rPr>
      </w:pPr>
      <w:r>
        <w:rPr>
          <w:rFonts w:ascii="Times New Roman" w:eastAsia="Times New Roman" w:hAnsi="Times New Roman" w:cs="Times New Roman"/>
          <w:b/>
        </w:rPr>
        <w:t>For</w:t>
      </w:r>
      <w:r>
        <w:rPr>
          <w:rFonts w:ascii="Times New Roman" w:eastAsia="Times New Roman" w:hAnsi="Times New Roman" w:cs="Times New Roman"/>
          <w:b/>
          <w:spacing w:val="-2"/>
        </w:rPr>
        <w:t>w</w:t>
      </w:r>
      <w:r>
        <w:rPr>
          <w:rFonts w:ascii="Times New Roman" w:eastAsia="Times New Roman" w:hAnsi="Times New Roman" w:cs="Times New Roman"/>
          <w:b/>
        </w:rPr>
        <w:t>ard-Loo</w:t>
      </w:r>
      <w:r>
        <w:rPr>
          <w:rFonts w:ascii="Times New Roman" w:eastAsia="Times New Roman" w:hAnsi="Times New Roman" w:cs="Times New Roman"/>
          <w:b/>
          <w:spacing w:val="1"/>
        </w:rPr>
        <w:t>k</w:t>
      </w:r>
      <w:r>
        <w:rPr>
          <w:rFonts w:ascii="Times New Roman" w:eastAsia="Times New Roman" w:hAnsi="Times New Roman" w:cs="Times New Roman"/>
          <w:b/>
        </w:rPr>
        <w:t>ing Sta</w:t>
      </w:r>
      <w:r>
        <w:rPr>
          <w:rFonts w:ascii="Times New Roman" w:eastAsia="Times New Roman" w:hAnsi="Times New Roman" w:cs="Times New Roman"/>
          <w:b/>
          <w:spacing w:val="-1"/>
        </w:rPr>
        <w:t>t</w:t>
      </w:r>
      <w:r>
        <w:rPr>
          <w:rFonts w:ascii="Times New Roman" w:eastAsia="Times New Roman" w:hAnsi="Times New Roman" w:cs="Times New Roman"/>
          <w:b/>
        </w:rPr>
        <w:t>ements</w:t>
      </w:r>
    </w:p>
    <w:p w:rsidR="00064D97" w:rsidRDefault="004F3231">
      <w:pPr>
        <w:autoSpaceDE/>
        <w:autoSpaceDN/>
        <w:adjustRightInd/>
        <w:spacing w:after="0" w:line="240" w:lineRule="auto"/>
        <w:rPr>
          <w:rFonts w:ascii="Times New Roman" w:eastAsia="Times New Roman" w:hAnsi="Times New Roman" w:cs="Times New Roman"/>
        </w:rPr>
      </w:pPr>
    </w:p>
    <w:p w:rsidR="00F61399" w:rsidRDefault="002F144E" w:rsidP="00F61399">
      <w:pPr>
        <w:autoSpaceDE/>
        <w:autoSpaceDN/>
        <w:adjustRightInd/>
        <w:spacing w:after="0" w:line="240" w:lineRule="auto"/>
        <w:jc w:val="both"/>
        <w:rPr>
          <w:rFonts w:ascii="Times New Roman" w:eastAsia="Times New Roman" w:hAnsi="Times New Roman" w:cs="Times New Roman"/>
          <w:lang w:val="en-GB"/>
        </w:rPr>
      </w:pPr>
      <w:r w:rsidRPr="008A1A74">
        <w:rPr>
          <w:rFonts w:ascii="Times New Roman" w:eastAsia="Times New Roman" w:hAnsi="Times New Roman" w:cs="Times New Roman"/>
          <w:lang w:val="en-GB"/>
        </w:rPr>
        <w:t>This press release contain</w:t>
      </w:r>
      <w:r>
        <w:rPr>
          <w:rFonts w:ascii="Times New Roman" w:eastAsia="Times New Roman" w:hAnsi="Times New Roman" w:cs="Times New Roman"/>
          <w:lang w:val="en-GB"/>
        </w:rPr>
        <w:t>s</w:t>
      </w:r>
      <w:r w:rsidRPr="008A1A74">
        <w:rPr>
          <w:rFonts w:ascii="Times New Roman" w:eastAsia="Times New Roman" w:hAnsi="Times New Roman" w:cs="Times New Roman"/>
          <w:lang w:val="en-GB"/>
        </w:rPr>
        <w:t xml:space="preserve"> forward-looking statements, including statements regarding the benefits of NERLYNX and neratinib, the </w:t>
      </w:r>
      <w:r>
        <w:rPr>
          <w:rFonts w:ascii="Times New Roman" w:eastAsia="Times New Roman" w:hAnsi="Times New Roman" w:cs="Times New Roman"/>
          <w:lang w:val="en-GB"/>
        </w:rPr>
        <w:t xml:space="preserve">progress and expected timing of the </w:t>
      </w:r>
      <w:r w:rsidRPr="008A1A74">
        <w:rPr>
          <w:rFonts w:ascii="Times New Roman" w:eastAsia="Times New Roman" w:hAnsi="Times New Roman" w:cs="Times New Roman"/>
          <w:lang w:val="en-GB"/>
        </w:rPr>
        <w:t>Company’s clinical trials</w:t>
      </w:r>
      <w:r>
        <w:rPr>
          <w:rFonts w:ascii="Times New Roman" w:eastAsia="Times New Roman" w:hAnsi="Times New Roman" w:cs="Times New Roman"/>
          <w:lang w:val="en-GB"/>
        </w:rPr>
        <w:t>,</w:t>
      </w:r>
      <w:r w:rsidRPr="008A1A74">
        <w:rPr>
          <w:rFonts w:ascii="Times New Roman" w:eastAsia="Times New Roman" w:hAnsi="Times New Roman" w:cs="Times New Roman"/>
          <w:lang w:val="en-GB"/>
        </w:rPr>
        <w:t xml:space="preserve"> the announcement of data relative to those trials</w:t>
      </w:r>
      <w:r>
        <w:rPr>
          <w:rFonts w:ascii="Times New Roman" w:eastAsia="Times New Roman" w:hAnsi="Times New Roman" w:cs="Times New Roman"/>
          <w:lang w:val="en-GB"/>
        </w:rPr>
        <w:t xml:space="preserve"> and the timing for anticipated regulatory approvals</w:t>
      </w:r>
      <w:r w:rsidRPr="008A1A74">
        <w:rPr>
          <w:rFonts w:ascii="Times New Roman" w:eastAsia="Times New Roman" w:hAnsi="Times New Roman" w:cs="Times New Roman"/>
          <w:lang w:val="en-GB"/>
        </w:rPr>
        <w:t xml:space="preserve">. All forward-looking statements involve risks and uncertainties that could </w:t>
      </w:r>
      <w:proofErr w:type="gramStart"/>
      <w:r w:rsidRPr="008A1A74">
        <w:rPr>
          <w:rFonts w:ascii="Times New Roman" w:eastAsia="Times New Roman" w:hAnsi="Times New Roman" w:cs="Times New Roman"/>
          <w:lang w:val="en-GB"/>
        </w:rPr>
        <w:t>cause</w:t>
      </w:r>
      <w:proofErr w:type="gramEnd"/>
      <w:r w:rsidRPr="008A1A74">
        <w:rPr>
          <w:rFonts w:ascii="Times New Roman" w:eastAsia="Times New Roman" w:hAnsi="Times New Roman" w:cs="Times New Roman"/>
          <w:lang w:val="en-GB"/>
        </w:rPr>
        <w:t xml:space="preserve"> the Company’s actual results to differ materially from the anticipated results and expectations expressed in these forward-looking statements. These statements are based on current expectations, forecasts and assumptions, and actual outcomes and results could differ materially from these statements due to a number of factors, which include, but are not limited to, the risk factors disclosed in the periodic and current reports filed by the Company with the Securities and Exchange Commission from time to time, including the Company’s </w:t>
      </w:r>
      <w:r>
        <w:rPr>
          <w:rFonts w:ascii="Times New Roman" w:eastAsia="Times New Roman" w:hAnsi="Times New Roman" w:cs="Times New Roman"/>
          <w:lang w:val="en-GB"/>
        </w:rPr>
        <w:t>Annual</w:t>
      </w:r>
      <w:r w:rsidRPr="008A1A74">
        <w:rPr>
          <w:rFonts w:ascii="Times New Roman" w:eastAsia="Times New Roman" w:hAnsi="Times New Roman" w:cs="Times New Roman"/>
          <w:lang w:val="en-GB"/>
        </w:rPr>
        <w:t xml:space="preserve"> Report on Form 10-</w:t>
      </w:r>
      <w:r>
        <w:rPr>
          <w:rFonts w:ascii="Times New Roman" w:eastAsia="Times New Roman" w:hAnsi="Times New Roman" w:cs="Times New Roman"/>
          <w:lang w:val="en-GB"/>
        </w:rPr>
        <w:t>K</w:t>
      </w:r>
      <w:r w:rsidRPr="008A1A74">
        <w:rPr>
          <w:rFonts w:ascii="Times New Roman" w:eastAsia="Times New Roman" w:hAnsi="Times New Roman" w:cs="Times New Roman"/>
          <w:lang w:val="en-GB"/>
        </w:rPr>
        <w:t xml:space="preserve"> for the </w:t>
      </w:r>
      <w:r>
        <w:rPr>
          <w:rFonts w:ascii="Times New Roman" w:eastAsia="Times New Roman" w:hAnsi="Times New Roman" w:cs="Times New Roman"/>
          <w:lang w:val="en-GB"/>
        </w:rPr>
        <w:t>year</w:t>
      </w:r>
      <w:r w:rsidRPr="008A1A74">
        <w:rPr>
          <w:rFonts w:ascii="Times New Roman" w:eastAsia="Times New Roman" w:hAnsi="Times New Roman" w:cs="Times New Roman"/>
          <w:lang w:val="en-GB"/>
        </w:rPr>
        <w:t xml:space="preserve"> ended </w:t>
      </w:r>
      <w:r>
        <w:rPr>
          <w:rFonts w:ascii="Times New Roman" w:eastAsia="Times New Roman" w:hAnsi="Times New Roman" w:cs="Times New Roman"/>
          <w:lang w:val="en-GB"/>
        </w:rPr>
        <w:t>December 31</w:t>
      </w:r>
      <w:r w:rsidRPr="008A1A74">
        <w:rPr>
          <w:rFonts w:ascii="Times New Roman" w:eastAsia="Times New Roman" w:hAnsi="Times New Roman" w:cs="Times New Roman"/>
          <w:lang w:val="en-GB"/>
        </w:rPr>
        <w:t>, 2017. Readers are cautioned not to place undue reliance on these forward-looking statements, which speak only as of the date hereof. The Company assumes no obligation to update these forward-looking statements, except as required by law</w:t>
      </w:r>
      <w:r>
        <w:rPr>
          <w:rFonts w:ascii="Times New Roman" w:eastAsia="Times New Roman" w:hAnsi="Times New Roman" w:cs="Times New Roman"/>
          <w:lang w:val="en-GB"/>
        </w:rPr>
        <w:t>.</w:t>
      </w:r>
    </w:p>
    <w:p w:rsidR="00064D97" w:rsidRDefault="004F3231" w:rsidP="00F61399">
      <w:pPr>
        <w:autoSpaceDE/>
        <w:autoSpaceDN/>
        <w:adjustRightInd/>
        <w:spacing w:after="0" w:line="240" w:lineRule="auto"/>
        <w:jc w:val="both"/>
        <w:rPr>
          <w:rFonts w:ascii="Times New Roman" w:eastAsia="Times New Roman" w:hAnsi="Times New Roman" w:cs="Times New Roman"/>
        </w:rPr>
      </w:pPr>
    </w:p>
    <w:p w:rsidR="00064D97" w:rsidRDefault="002F144E">
      <w:pPr>
        <w:autoSpaceDE/>
        <w:autoSpaceDN/>
        <w:adjustRightInd/>
        <w:spacing w:after="0" w:line="240" w:lineRule="auto"/>
        <w:ind w:right="-20"/>
        <w:rPr>
          <w:rFonts w:ascii="Times New Roman" w:eastAsia="Times New Roman" w:hAnsi="Times New Roman" w:cs="Times New Roman"/>
          <w:b/>
        </w:rPr>
      </w:pPr>
      <w:r>
        <w:rPr>
          <w:rFonts w:ascii="Times New Roman" w:eastAsia="Times New Roman" w:hAnsi="Times New Roman" w:cs="Times New Roman"/>
          <w:b/>
        </w:rPr>
        <w:t>Con</w:t>
      </w:r>
      <w:r>
        <w:rPr>
          <w:rFonts w:ascii="Times New Roman" w:eastAsia="Times New Roman" w:hAnsi="Times New Roman" w:cs="Times New Roman"/>
          <w:b/>
          <w:spacing w:val="-1"/>
        </w:rPr>
        <w:t>t</w:t>
      </w:r>
      <w:r>
        <w:rPr>
          <w:rFonts w:ascii="Times New Roman" w:eastAsia="Times New Roman" w:hAnsi="Times New Roman" w:cs="Times New Roman"/>
          <w:b/>
        </w:rPr>
        <w:t>acts:</w:t>
      </w:r>
    </w:p>
    <w:p w:rsidR="00064D97" w:rsidRDefault="004F3231">
      <w:pPr>
        <w:autoSpaceDE/>
        <w:autoSpaceDN/>
        <w:adjustRightInd/>
        <w:spacing w:after="0" w:line="240" w:lineRule="auto"/>
        <w:ind w:right="-20"/>
        <w:rPr>
          <w:rFonts w:ascii="Times New Roman" w:eastAsia="Times New Roman" w:hAnsi="Times New Roman" w:cs="Times New Roman"/>
          <w:sz w:val="24"/>
          <w:szCs w:val="24"/>
        </w:rPr>
      </w:pPr>
    </w:p>
    <w:p w:rsidR="00064D97" w:rsidRDefault="002F144E">
      <w:pPr>
        <w:autoSpaceDE/>
        <w:autoSpaceDN/>
        <w:adjustRightInd/>
        <w:spacing w:after="60" w:line="240" w:lineRule="auto"/>
        <w:rPr>
          <w:rFonts w:ascii="Times New Roman" w:eastAsia="Times New Roman" w:hAnsi="Times New Roman" w:cs="Times New Roman"/>
        </w:rPr>
      </w:pPr>
      <w:r>
        <w:rPr>
          <w:rFonts w:ascii="Times New Roman" w:eastAsia="Times New Roman" w:hAnsi="Times New Roman" w:cs="Times New Roman"/>
        </w:rPr>
        <w:t>Alan H.</w:t>
      </w:r>
      <w:r>
        <w:rPr>
          <w:rFonts w:ascii="Times New Roman" w:eastAsia="Times New Roman" w:hAnsi="Times New Roman" w:cs="Times New Roman"/>
          <w:spacing w:val="-1"/>
        </w:rPr>
        <w:t xml:space="preserve"> </w:t>
      </w:r>
      <w:r>
        <w:rPr>
          <w:rFonts w:ascii="Times New Roman" w:eastAsia="Times New Roman" w:hAnsi="Times New Roman" w:cs="Times New Roman"/>
        </w:rPr>
        <w:t>Au</w:t>
      </w:r>
      <w:r>
        <w:rPr>
          <w:rFonts w:ascii="Times New Roman" w:eastAsia="Times New Roman" w:hAnsi="Times New Roman" w:cs="Times New Roman"/>
          <w:spacing w:val="-1"/>
        </w:rPr>
        <w:t>e</w:t>
      </w:r>
      <w:r>
        <w:rPr>
          <w:rFonts w:ascii="Times New Roman" w:eastAsia="Times New Roman" w:hAnsi="Times New Roman" w:cs="Times New Roman"/>
        </w:rPr>
        <w:t>rbach or M</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i</w:t>
      </w:r>
      <w:r>
        <w:rPr>
          <w:rFonts w:ascii="Times New Roman" w:eastAsia="Times New Roman" w:hAnsi="Times New Roman" w:cs="Times New Roman"/>
          <w:spacing w:val="-1"/>
        </w:rPr>
        <w:t>a</w:t>
      </w:r>
      <w:r>
        <w:rPr>
          <w:rFonts w:ascii="Times New Roman" w:eastAsia="Times New Roman" w:hAnsi="Times New Roman" w:cs="Times New Roman"/>
        </w:rPr>
        <w:t>nn Ohanes</w:t>
      </w:r>
      <w:r>
        <w:rPr>
          <w:rFonts w:ascii="Times New Roman" w:eastAsia="Times New Roman" w:hAnsi="Times New Roman" w:cs="Times New Roman"/>
          <w:spacing w:val="-1"/>
        </w:rPr>
        <w:t>i</w:t>
      </w:r>
      <w:r>
        <w:rPr>
          <w:rFonts w:ascii="Times New Roman" w:eastAsia="Times New Roman" w:hAnsi="Times New Roman" w:cs="Times New Roman"/>
        </w:rPr>
        <w:t>an, Pu</w:t>
      </w:r>
      <w:r>
        <w:rPr>
          <w:rFonts w:ascii="Times New Roman" w:eastAsia="Times New Roman" w:hAnsi="Times New Roman" w:cs="Times New Roman"/>
          <w:spacing w:val="-2"/>
        </w:rPr>
        <w:t>m</w:t>
      </w:r>
      <w:r>
        <w:rPr>
          <w:rFonts w:ascii="Times New Roman" w:eastAsia="Times New Roman" w:hAnsi="Times New Roman" w:cs="Times New Roman"/>
        </w:rPr>
        <w:t>a B</w:t>
      </w:r>
      <w:r>
        <w:rPr>
          <w:rFonts w:ascii="Times New Roman" w:eastAsia="Times New Roman" w:hAnsi="Times New Roman" w:cs="Times New Roman"/>
          <w:spacing w:val="-1"/>
        </w:rPr>
        <w:t>i</w:t>
      </w:r>
      <w:r>
        <w:rPr>
          <w:rFonts w:ascii="Times New Roman" w:eastAsia="Times New Roman" w:hAnsi="Times New Roman" w:cs="Times New Roman"/>
        </w:rPr>
        <w:t>ot</w:t>
      </w:r>
      <w:r>
        <w:rPr>
          <w:rFonts w:ascii="Times New Roman" w:eastAsia="Times New Roman" w:hAnsi="Times New Roman" w:cs="Times New Roman"/>
          <w:spacing w:val="-1"/>
        </w:rPr>
        <w:t>e</w:t>
      </w:r>
      <w:r>
        <w:rPr>
          <w:rFonts w:ascii="Times New Roman" w:eastAsia="Times New Roman" w:hAnsi="Times New Roman" w:cs="Times New Roman"/>
        </w:rPr>
        <w:t>chno</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g</w:t>
      </w:r>
      <w:r>
        <w:rPr>
          <w:rFonts w:ascii="Times New Roman" w:eastAsia="Times New Roman" w:hAnsi="Times New Roman" w:cs="Times New Roman"/>
          <w:spacing w:val="1"/>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Inc., +1 424</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248 6500 </w:t>
      </w:r>
    </w:p>
    <w:p w:rsidR="00064D97" w:rsidRDefault="004F3231">
      <w:pPr>
        <w:autoSpaceDE/>
        <w:autoSpaceDN/>
        <w:adjustRightInd/>
        <w:spacing w:after="60" w:line="240" w:lineRule="auto"/>
        <w:ind w:right="1085"/>
        <w:rPr>
          <w:rFonts w:ascii="Times New Roman" w:eastAsia="Times New Roman" w:hAnsi="Times New Roman" w:cs="Times New Roman"/>
        </w:rPr>
      </w:pPr>
      <w:hyperlink r:id="rId10" w:history="1">
        <w:r w:rsidR="002F144E">
          <w:rPr>
            <w:rFonts w:ascii="Times New Roman" w:eastAsia="Times New Roman" w:hAnsi="Times New Roman" w:cs="Times New Roman"/>
            <w:color w:val="000000"/>
            <w:u w:color="0000FF"/>
          </w:rPr>
          <w:t>info@pu</w:t>
        </w:r>
        <w:r w:rsidR="002F144E">
          <w:rPr>
            <w:rFonts w:ascii="Times New Roman" w:eastAsia="Times New Roman" w:hAnsi="Times New Roman" w:cs="Times New Roman"/>
            <w:color w:val="000000"/>
            <w:spacing w:val="-2"/>
            <w:u w:color="0000FF"/>
          </w:rPr>
          <w:t>m</w:t>
        </w:r>
        <w:r w:rsidR="002F144E">
          <w:rPr>
            <w:rFonts w:ascii="Times New Roman" w:eastAsia="Times New Roman" w:hAnsi="Times New Roman" w:cs="Times New Roman"/>
            <w:color w:val="000000"/>
            <w:u w:color="0000FF"/>
          </w:rPr>
          <w:t>ab</w:t>
        </w:r>
        <w:r w:rsidR="002F144E">
          <w:rPr>
            <w:rFonts w:ascii="Times New Roman" w:eastAsia="Times New Roman" w:hAnsi="Times New Roman" w:cs="Times New Roman"/>
            <w:color w:val="000000"/>
            <w:spacing w:val="-1"/>
            <w:u w:color="0000FF"/>
          </w:rPr>
          <w:t>i</w:t>
        </w:r>
        <w:r w:rsidR="002F144E">
          <w:rPr>
            <w:rFonts w:ascii="Times New Roman" w:eastAsia="Times New Roman" w:hAnsi="Times New Roman" w:cs="Times New Roman"/>
            <w:color w:val="000000"/>
            <w:u w:color="0000FF"/>
          </w:rPr>
          <w:t>ot</w:t>
        </w:r>
        <w:r w:rsidR="002F144E">
          <w:rPr>
            <w:rFonts w:ascii="Times New Roman" w:eastAsia="Times New Roman" w:hAnsi="Times New Roman" w:cs="Times New Roman"/>
            <w:color w:val="000000"/>
            <w:spacing w:val="-1"/>
            <w:u w:color="0000FF"/>
          </w:rPr>
          <w:t>e</w:t>
        </w:r>
        <w:r w:rsidR="002F144E">
          <w:rPr>
            <w:rFonts w:ascii="Times New Roman" w:eastAsia="Times New Roman" w:hAnsi="Times New Roman" w:cs="Times New Roman"/>
            <w:color w:val="000000"/>
            <w:u w:color="0000FF"/>
          </w:rPr>
          <w:t>chno</w:t>
        </w:r>
        <w:r w:rsidR="002F144E">
          <w:rPr>
            <w:rFonts w:ascii="Times New Roman" w:eastAsia="Times New Roman" w:hAnsi="Times New Roman" w:cs="Times New Roman"/>
            <w:color w:val="000000"/>
            <w:spacing w:val="-1"/>
            <w:u w:color="0000FF"/>
          </w:rPr>
          <w:t>l</w:t>
        </w:r>
        <w:r w:rsidR="002F144E">
          <w:rPr>
            <w:rFonts w:ascii="Times New Roman" w:eastAsia="Times New Roman" w:hAnsi="Times New Roman" w:cs="Times New Roman"/>
            <w:color w:val="000000"/>
            <w:u w:color="0000FF"/>
          </w:rPr>
          <w:t>ogy.com</w:t>
        </w:r>
      </w:hyperlink>
    </w:p>
    <w:p w:rsidR="00064D97" w:rsidRDefault="004F3231">
      <w:pPr>
        <w:autoSpaceDE/>
        <w:autoSpaceDN/>
        <w:adjustRightInd/>
        <w:spacing w:after="60" w:line="240" w:lineRule="auto"/>
        <w:ind w:right="-20"/>
        <w:rPr>
          <w:rFonts w:ascii="Times New Roman" w:eastAsia="Times New Roman" w:hAnsi="Times New Roman" w:cs="Times New Roman"/>
        </w:rPr>
      </w:pPr>
      <w:hyperlink r:id="rId11" w:history="1">
        <w:r w:rsidR="002F144E">
          <w:rPr>
            <w:rFonts w:ascii="Times New Roman" w:eastAsia="Times New Roman" w:hAnsi="Times New Roman" w:cs="Times New Roman"/>
            <w:color w:val="000000"/>
            <w:position w:val="-1"/>
            <w:u w:color="0000FF"/>
          </w:rPr>
          <w:t>ir@pu</w:t>
        </w:r>
        <w:r w:rsidR="002F144E">
          <w:rPr>
            <w:rFonts w:ascii="Times New Roman" w:eastAsia="Times New Roman" w:hAnsi="Times New Roman" w:cs="Times New Roman"/>
            <w:color w:val="000000"/>
            <w:spacing w:val="-2"/>
            <w:position w:val="-1"/>
            <w:u w:color="0000FF"/>
          </w:rPr>
          <w:t>m</w:t>
        </w:r>
        <w:r w:rsidR="002F144E">
          <w:rPr>
            <w:rFonts w:ascii="Times New Roman" w:eastAsia="Times New Roman" w:hAnsi="Times New Roman" w:cs="Times New Roman"/>
            <w:color w:val="000000"/>
            <w:position w:val="-1"/>
            <w:u w:color="0000FF"/>
          </w:rPr>
          <w:t>ab</w:t>
        </w:r>
        <w:r w:rsidR="002F144E">
          <w:rPr>
            <w:rFonts w:ascii="Times New Roman" w:eastAsia="Times New Roman" w:hAnsi="Times New Roman" w:cs="Times New Roman"/>
            <w:color w:val="000000"/>
            <w:spacing w:val="-1"/>
            <w:position w:val="-1"/>
            <w:u w:color="0000FF"/>
          </w:rPr>
          <w:t>i</w:t>
        </w:r>
        <w:r w:rsidR="002F144E">
          <w:rPr>
            <w:rFonts w:ascii="Times New Roman" w:eastAsia="Times New Roman" w:hAnsi="Times New Roman" w:cs="Times New Roman"/>
            <w:color w:val="000000"/>
            <w:position w:val="-1"/>
            <w:u w:color="0000FF"/>
          </w:rPr>
          <w:t>otechno</w:t>
        </w:r>
        <w:r w:rsidR="002F144E">
          <w:rPr>
            <w:rFonts w:ascii="Times New Roman" w:eastAsia="Times New Roman" w:hAnsi="Times New Roman" w:cs="Times New Roman"/>
            <w:color w:val="000000"/>
            <w:spacing w:val="-1"/>
            <w:position w:val="-1"/>
            <w:u w:color="0000FF"/>
          </w:rPr>
          <w:t>l</w:t>
        </w:r>
        <w:r w:rsidR="002F144E">
          <w:rPr>
            <w:rFonts w:ascii="Times New Roman" w:eastAsia="Times New Roman" w:hAnsi="Times New Roman" w:cs="Times New Roman"/>
            <w:color w:val="000000"/>
            <w:position w:val="-1"/>
            <w:u w:color="0000FF"/>
          </w:rPr>
          <w:t>o</w:t>
        </w:r>
        <w:r w:rsidR="002F144E">
          <w:rPr>
            <w:rFonts w:ascii="Times New Roman" w:eastAsia="Times New Roman" w:hAnsi="Times New Roman" w:cs="Times New Roman"/>
            <w:color w:val="000000"/>
            <w:spacing w:val="-1"/>
            <w:position w:val="-1"/>
            <w:u w:color="0000FF"/>
          </w:rPr>
          <w:t>g</w:t>
        </w:r>
        <w:r w:rsidR="002F144E">
          <w:rPr>
            <w:rFonts w:ascii="Times New Roman" w:eastAsia="Times New Roman" w:hAnsi="Times New Roman" w:cs="Times New Roman"/>
            <w:color w:val="000000"/>
            <w:spacing w:val="1"/>
            <w:position w:val="-1"/>
            <w:u w:color="0000FF"/>
          </w:rPr>
          <w:t>y</w:t>
        </w:r>
        <w:r w:rsidR="002F144E">
          <w:rPr>
            <w:rFonts w:ascii="Times New Roman" w:eastAsia="Times New Roman" w:hAnsi="Times New Roman" w:cs="Times New Roman"/>
            <w:color w:val="000000"/>
            <w:position w:val="-1"/>
            <w:u w:color="0000FF"/>
          </w:rPr>
          <w:t>.</w:t>
        </w:r>
        <w:r w:rsidR="002F144E">
          <w:rPr>
            <w:rFonts w:ascii="Times New Roman" w:eastAsia="Times New Roman" w:hAnsi="Times New Roman" w:cs="Times New Roman"/>
            <w:color w:val="000000"/>
            <w:spacing w:val="-2"/>
            <w:position w:val="-1"/>
            <w:u w:color="0000FF"/>
          </w:rPr>
          <w:t>c</w:t>
        </w:r>
        <w:r w:rsidR="002F144E">
          <w:rPr>
            <w:rFonts w:ascii="Times New Roman" w:eastAsia="Times New Roman" w:hAnsi="Times New Roman" w:cs="Times New Roman"/>
            <w:color w:val="000000"/>
            <w:position w:val="-1"/>
            <w:u w:color="0000FF"/>
          </w:rPr>
          <w:t>om</w:t>
        </w:r>
      </w:hyperlink>
    </w:p>
    <w:p w:rsidR="00064D97" w:rsidRDefault="004F3231">
      <w:pPr>
        <w:autoSpaceDE/>
        <w:autoSpaceDN/>
        <w:adjustRightInd/>
        <w:spacing w:after="0" w:line="240" w:lineRule="auto"/>
        <w:rPr>
          <w:rFonts w:ascii="Times New Roman" w:eastAsia="Times New Roman" w:hAnsi="Times New Roman" w:cs="Times New Roman"/>
        </w:rPr>
      </w:pPr>
    </w:p>
    <w:p w:rsidR="00064D97" w:rsidRDefault="002F144E">
      <w:pPr>
        <w:autoSpaceDE/>
        <w:autoSpaceDN/>
        <w:adjustRightInd/>
        <w:spacing w:after="60" w:line="240" w:lineRule="auto"/>
        <w:ind w:right="-20"/>
        <w:rPr>
          <w:rFonts w:ascii="Times New Roman" w:eastAsia="Times New Roman" w:hAnsi="Times New Roman" w:cs="Times New Roman"/>
        </w:rPr>
      </w:pPr>
      <w:r>
        <w:rPr>
          <w:rFonts w:ascii="Times New Roman" w:eastAsia="Times New Roman" w:hAnsi="Times New Roman" w:cs="Times New Roman"/>
        </w:rPr>
        <w:t>Amiad Finkelthal or</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David </w:t>
      </w:r>
      <w:r>
        <w:rPr>
          <w:rFonts w:ascii="Times New Roman" w:eastAsia="Times New Roman" w:hAnsi="Times New Roman" w:cs="Times New Roman"/>
          <w:spacing w:val="-1"/>
        </w:rPr>
        <w:t>S</w:t>
      </w:r>
      <w:r>
        <w:rPr>
          <w:rFonts w:ascii="Times New Roman" w:eastAsia="Times New Roman" w:hAnsi="Times New Roman" w:cs="Times New Roman"/>
        </w:rPr>
        <w:t>chu</w:t>
      </w:r>
      <w:r>
        <w:rPr>
          <w:rFonts w:ascii="Times New Roman" w:eastAsia="Times New Roman" w:hAnsi="Times New Roman" w:cs="Times New Roman"/>
          <w:spacing w:val="-1"/>
        </w:rPr>
        <w:t>l</w:t>
      </w:r>
      <w:r>
        <w:rPr>
          <w:rFonts w:ascii="Times New Roman" w:eastAsia="Times New Roman" w:hAnsi="Times New Roman" w:cs="Times New Roman"/>
        </w:rPr>
        <w:t>l, Russo</w:t>
      </w:r>
      <w:r>
        <w:rPr>
          <w:rFonts w:ascii="Times New Roman" w:eastAsia="Times New Roman" w:hAnsi="Times New Roman" w:cs="Times New Roman"/>
          <w:spacing w:val="-1"/>
        </w:rPr>
        <w:t xml:space="preserve"> </w:t>
      </w:r>
      <w:r>
        <w:rPr>
          <w:rFonts w:ascii="Times New Roman" w:eastAsia="Times New Roman" w:hAnsi="Times New Roman" w:cs="Times New Roman"/>
        </w:rPr>
        <w:t>Partners, +1</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212 845 </w:t>
      </w:r>
      <w:r>
        <w:rPr>
          <w:rFonts w:ascii="Times New Roman" w:eastAsia="Times New Roman" w:hAnsi="Times New Roman" w:cs="Times New Roman"/>
          <w:spacing w:val="-1"/>
        </w:rPr>
        <w:t>4</w:t>
      </w:r>
      <w:r>
        <w:rPr>
          <w:rFonts w:ascii="Times New Roman" w:eastAsia="Times New Roman" w:hAnsi="Times New Roman" w:cs="Times New Roman"/>
        </w:rPr>
        <w:t>200</w:t>
      </w:r>
    </w:p>
    <w:p w:rsidR="00064D97" w:rsidRDefault="002F144E">
      <w:pPr>
        <w:autoSpaceDE/>
        <w:autoSpaceDN/>
        <w:adjustRightInd/>
        <w:spacing w:after="60" w:line="240" w:lineRule="auto"/>
        <w:ind w:right="-14"/>
        <w:rPr>
          <w:rFonts w:ascii="Times New Roman" w:eastAsia="Times New Roman" w:hAnsi="Times New Roman" w:cs="Times New Roman"/>
        </w:rPr>
      </w:pPr>
      <w:r>
        <w:rPr>
          <w:rFonts w:ascii="Times New Roman" w:eastAsia="Times New Roman" w:hAnsi="Times New Roman" w:cs="Times New Roman"/>
          <w:position w:val="-1"/>
          <w:u w:color="0000FF"/>
        </w:rPr>
        <w:t>amiad.finkelthal@russo</w:t>
      </w:r>
      <w:r>
        <w:rPr>
          <w:rFonts w:ascii="Times New Roman" w:eastAsia="Times New Roman" w:hAnsi="Times New Roman" w:cs="Times New Roman"/>
          <w:spacing w:val="-1"/>
          <w:position w:val="-1"/>
          <w:u w:color="0000FF"/>
        </w:rPr>
        <w:t>p</w:t>
      </w:r>
      <w:r>
        <w:rPr>
          <w:rFonts w:ascii="Times New Roman" w:eastAsia="Times New Roman" w:hAnsi="Times New Roman" w:cs="Times New Roman"/>
          <w:position w:val="-1"/>
          <w:u w:color="0000FF"/>
        </w:rPr>
        <w:t>artn</w:t>
      </w:r>
      <w:r>
        <w:rPr>
          <w:rFonts w:ascii="Times New Roman" w:eastAsia="Times New Roman" w:hAnsi="Times New Roman" w:cs="Times New Roman"/>
          <w:spacing w:val="-1"/>
          <w:position w:val="-1"/>
          <w:u w:color="0000FF"/>
        </w:rPr>
        <w:t>e</w:t>
      </w:r>
      <w:r>
        <w:rPr>
          <w:rFonts w:ascii="Times New Roman" w:eastAsia="Times New Roman" w:hAnsi="Times New Roman" w:cs="Times New Roman"/>
          <w:position w:val="-1"/>
          <w:u w:color="0000FF"/>
        </w:rPr>
        <w:t>rsll</w:t>
      </w:r>
      <w:r>
        <w:rPr>
          <w:rFonts w:ascii="Times New Roman" w:eastAsia="Times New Roman" w:hAnsi="Times New Roman" w:cs="Times New Roman"/>
          <w:spacing w:val="-1"/>
          <w:position w:val="-1"/>
          <w:u w:color="0000FF"/>
        </w:rPr>
        <w:t>c</w:t>
      </w:r>
      <w:r>
        <w:rPr>
          <w:rFonts w:ascii="Times New Roman" w:eastAsia="Times New Roman" w:hAnsi="Times New Roman" w:cs="Times New Roman"/>
          <w:position w:val="-1"/>
          <w:u w:color="0000FF"/>
        </w:rPr>
        <w:t>.com</w:t>
      </w:r>
    </w:p>
    <w:p w:rsidR="00064D97" w:rsidRDefault="004F3231">
      <w:pPr>
        <w:autoSpaceDE/>
        <w:autoSpaceDN/>
        <w:adjustRightInd/>
        <w:spacing w:after="60" w:line="240" w:lineRule="auto"/>
        <w:ind w:right="-20"/>
        <w:rPr>
          <w:rFonts w:ascii="Times New Roman" w:eastAsia="Times New Roman" w:hAnsi="Times New Roman" w:cs="Times New Roman"/>
          <w:color w:val="0000FF"/>
          <w:u w:val="single" w:color="0000FF"/>
        </w:rPr>
      </w:pPr>
      <w:hyperlink r:id="rId12" w:history="1">
        <w:r w:rsidR="002F144E">
          <w:rPr>
            <w:rFonts w:ascii="Times New Roman" w:eastAsia="Times New Roman" w:hAnsi="Times New Roman" w:cs="Times New Roman"/>
            <w:color w:val="000000"/>
            <w:u w:color="0000FF"/>
          </w:rPr>
          <w:t>dav</w:t>
        </w:r>
        <w:r w:rsidR="002F144E">
          <w:rPr>
            <w:rFonts w:ascii="Times New Roman" w:eastAsia="Times New Roman" w:hAnsi="Times New Roman" w:cs="Times New Roman"/>
            <w:color w:val="000000"/>
            <w:spacing w:val="-1"/>
            <w:u w:color="0000FF"/>
          </w:rPr>
          <w:t>i</w:t>
        </w:r>
        <w:r w:rsidR="002F144E">
          <w:rPr>
            <w:rFonts w:ascii="Times New Roman" w:eastAsia="Times New Roman" w:hAnsi="Times New Roman" w:cs="Times New Roman"/>
            <w:color w:val="000000"/>
            <w:u w:color="0000FF"/>
          </w:rPr>
          <w:t>d.schul</w:t>
        </w:r>
        <w:r w:rsidR="002F144E">
          <w:rPr>
            <w:rFonts w:ascii="Times New Roman" w:eastAsia="Times New Roman" w:hAnsi="Times New Roman" w:cs="Times New Roman"/>
            <w:color w:val="000000"/>
            <w:spacing w:val="-1"/>
            <w:u w:color="0000FF"/>
          </w:rPr>
          <w:t>l</w:t>
        </w:r>
        <w:r w:rsidR="002F144E">
          <w:rPr>
            <w:rFonts w:ascii="Times New Roman" w:eastAsia="Times New Roman" w:hAnsi="Times New Roman" w:cs="Times New Roman"/>
            <w:color w:val="000000"/>
            <w:u w:color="0000FF"/>
          </w:rPr>
          <w:t>@russopar</w:t>
        </w:r>
        <w:r w:rsidR="002F144E">
          <w:rPr>
            <w:rFonts w:ascii="Times New Roman" w:eastAsia="Times New Roman" w:hAnsi="Times New Roman" w:cs="Times New Roman"/>
            <w:color w:val="000000"/>
            <w:spacing w:val="-1"/>
            <w:u w:color="0000FF"/>
          </w:rPr>
          <w:t>tn</w:t>
        </w:r>
        <w:r w:rsidR="002F144E">
          <w:rPr>
            <w:rFonts w:ascii="Times New Roman" w:eastAsia="Times New Roman" w:hAnsi="Times New Roman" w:cs="Times New Roman"/>
            <w:color w:val="000000"/>
            <w:u w:color="0000FF"/>
          </w:rPr>
          <w:t>ersl</w:t>
        </w:r>
        <w:r w:rsidR="002F144E">
          <w:rPr>
            <w:rFonts w:ascii="Times New Roman" w:eastAsia="Times New Roman" w:hAnsi="Times New Roman" w:cs="Times New Roman"/>
            <w:color w:val="000000"/>
            <w:spacing w:val="-1"/>
            <w:u w:color="0000FF"/>
          </w:rPr>
          <w:t>l</w:t>
        </w:r>
        <w:r w:rsidR="002F144E">
          <w:rPr>
            <w:rFonts w:ascii="Times New Roman" w:eastAsia="Times New Roman" w:hAnsi="Times New Roman" w:cs="Times New Roman"/>
            <w:color w:val="000000"/>
            <w:u w:color="0000FF"/>
          </w:rPr>
          <w:t>c.com</w:t>
        </w:r>
      </w:hyperlink>
    </w:p>
    <w:p w:rsidR="00064D97" w:rsidRDefault="004F3231">
      <w:pPr>
        <w:autoSpaceDE/>
        <w:autoSpaceDN/>
        <w:adjustRightInd/>
        <w:spacing w:after="0" w:line="240" w:lineRule="auto"/>
        <w:ind w:left="100" w:right="-20"/>
        <w:jc w:val="center"/>
        <w:rPr>
          <w:rFonts w:ascii="Times New Roman" w:eastAsia="Times New Roman" w:hAnsi="Times New Roman" w:cs="Times New Roman"/>
          <w:b/>
        </w:rPr>
      </w:pPr>
    </w:p>
    <w:p w:rsidR="00064D97" w:rsidRDefault="002F144E">
      <w:pPr>
        <w:autoSpaceDE/>
        <w:autoSpaceDN/>
        <w:adjustRightInd/>
        <w:spacing w:after="0" w:line="240" w:lineRule="auto"/>
        <w:ind w:left="100" w:right="-20"/>
        <w:jc w:val="center"/>
        <w:rPr>
          <w:rFonts w:ascii="Times New Roman" w:eastAsia="Times New Roman" w:hAnsi="Times New Roman" w:cs="Times New Roman"/>
          <w:b/>
        </w:rPr>
      </w:pPr>
      <w:r>
        <w:rPr>
          <w:rFonts w:ascii="Times New Roman" w:eastAsia="Times New Roman" w:hAnsi="Times New Roman" w:cs="Times New Roman"/>
          <w:b/>
        </w:rPr>
        <w:t># # # # #</w:t>
      </w:r>
    </w:p>
    <w:p w:rsidR="00064D97" w:rsidRDefault="004F3231">
      <w:pPr>
        <w:autoSpaceDE/>
        <w:autoSpaceDN/>
        <w:adjustRightInd/>
        <w:spacing w:after="0" w:line="240" w:lineRule="auto"/>
        <w:ind w:left="100" w:right="-20"/>
        <w:jc w:val="center"/>
        <w:rPr>
          <w:rFonts w:ascii="Times New Roman" w:eastAsia="Times New Roman" w:hAnsi="Times New Roman" w:cs="Times New Roman"/>
          <w:b/>
        </w:rPr>
      </w:pPr>
    </w:p>
    <w:p w:rsidR="00064D97" w:rsidRDefault="002F144E">
      <w:pPr>
        <w:autoSpaceDE/>
        <w:autoSpaceDN/>
        <w:adjustRightInd/>
        <w:spacing w:after="0" w:line="240" w:lineRule="auto"/>
        <w:ind w:left="100" w:right="-20"/>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i/>
        </w:rPr>
        <w:t>Financial Tables Follow</w:t>
      </w:r>
      <w:r>
        <w:rPr>
          <w:rFonts w:ascii="Times New Roman" w:eastAsia="Times New Roman" w:hAnsi="Times New Roman" w:cs="Times New Roman"/>
          <w:b/>
        </w:rPr>
        <w:t>)</w:t>
      </w:r>
    </w:p>
    <w:p w:rsidR="00064D97" w:rsidRDefault="009E7F66" w:rsidP="00926422">
      <w:pPr>
        <w:autoSpaceDE/>
        <w:autoSpaceDN/>
        <w:adjustRightInd/>
        <w:spacing w:after="0" w:line="240" w:lineRule="auto"/>
        <w:ind w:left="100" w:right="-20"/>
        <w:jc w:val="center"/>
        <w:rPr>
          <w:rFonts w:ascii="Times New Roman" w:eastAsia="Times New Roman" w:hAnsi="Times New Roman" w:cs="Times New Roman"/>
          <w:b/>
          <w:noProof/>
        </w:rPr>
      </w:pPr>
      <w:r>
        <w:rPr>
          <w:rFonts w:ascii="Times New Roman" w:eastAsia="Times New Roman" w:hAnsi="Times New Roman" w:cs="Times New Roman"/>
          <w:b/>
          <w:noProof/>
        </w:rPr>
        <w:lastRenderedPageBreak/>
        <w:drawing>
          <wp:inline distT="0" distB="0" distL="0" distR="0" wp14:anchorId="011A0E2D" wp14:editId="5F9E960F">
            <wp:extent cx="5140790" cy="88392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662" cy="8844138"/>
                    </a:xfrm>
                    <a:prstGeom prst="rect">
                      <a:avLst/>
                    </a:prstGeom>
                    <a:noFill/>
                    <a:ln>
                      <a:noFill/>
                    </a:ln>
                  </pic:spPr>
                </pic:pic>
              </a:graphicData>
            </a:graphic>
          </wp:inline>
        </w:drawing>
      </w:r>
      <w:r w:rsidR="002F144E">
        <w:rPr>
          <w:rFonts w:ascii="Times New Roman" w:eastAsia="Times New Roman" w:hAnsi="Times New Roman" w:cs="Times New Roman"/>
          <w:b/>
        </w:rPr>
        <w:t xml:space="preserve">       </w:t>
      </w:r>
    </w:p>
    <w:p w:rsidR="00064D97" w:rsidRPr="00682D80" w:rsidRDefault="002F144E">
      <w:pPr>
        <w:autoSpaceDE/>
        <w:autoSpaceDN/>
        <w:adjustRightInd/>
        <w:spacing w:after="0" w:line="240" w:lineRule="auto"/>
        <w:ind w:right="-20"/>
        <w:rPr>
          <w:rFonts w:ascii="Times New Roman" w:eastAsia="Times New Roman" w:hAnsi="Times New Roman" w:cs="Times New Roman"/>
          <w:b/>
        </w:rPr>
      </w:pPr>
      <w:r w:rsidRPr="00682D80">
        <w:rPr>
          <w:rFonts w:ascii="Times New Roman" w:eastAsia="Times New Roman" w:hAnsi="Times New Roman" w:cs="Times New Roman"/>
          <w:b/>
        </w:rPr>
        <w:lastRenderedPageBreak/>
        <w:t>Non-GAAP Financial Measures</w:t>
      </w:r>
    </w:p>
    <w:p w:rsidR="00064D97" w:rsidRPr="00682D80" w:rsidRDefault="004F3231">
      <w:pPr>
        <w:widowControl/>
        <w:autoSpaceDE/>
        <w:autoSpaceDN/>
        <w:adjustRightInd/>
        <w:spacing w:after="0" w:line="240" w:lineRule="auto"/>
        <w:rPr>
          <w:rFonts w:ascii="Times New Roman" w:eastAsia="Times New Roman" w:hAnsi="Times New Roman" w:cs="Times New Roman"/>
          <w:b/>
        </w:rPr>
      </w:pPr>
    </w:p>
    <w:p w:rsidR="00064D97" w:rsidRDefault="002F144E">
      <w:pPr>
        <w:widowControl/>
        <w:spacing w:after="0" w:line="240" w:lineRule="auto"/>
        <w:jc w:val="both"/>
        <w:rPr>
          <w:rFonts w:ascii="Times New Roman" w:eastAsia="Times New Roman" w:hAnsi="Times New Roman" w:cs="Times New Roman"/>
        </w:rPr>
      </w:pPr>
      <w:r w:rsidRPr="00682D80">
        <w:rPr>
          <w:rFonts w:ascii="Times New Roman" w:hAnsi="Times New Roman" w:cs="Times New Roman"/>
        </w:rPr>
        <w:t xml:space="preserve">In addition to operating results as calculated in accordance with generally accepted accounting principles, or GAAP, the Company uses certain non-GAAP financial measures when planning, monitoring, and evaluating operational performance. The following table presents the Company’s net loss and net loss per share calculated in accordance with GAAP and as adjusted to remove the impact of employee stock-based compensation. For the three months ended March 31, 2018 and 2017, </w:t>
      </w:r>
      <w:r w:rsidRPr="009E7F66">
        <w:rPr>
          <w:rFonts w:ascii="Times New Roman" w:hAnsi="Times New Roman" w:cs="Times New Roman"/>
        </w:rPr>
        <w:t>stock-based compensation represented approximately 28.3% and 40.7% of operating expense, respec</w:t>
      </w:r>
      <w:r w:rsidRPr="00682D80">
        <w:rPr>
          <w:rFonts w:ascii="Times New Roman" w:hAnsi="Times New Roman" w:cs="Times New Roman"/>
        </w:rPr>
        <w:t>tively. Although net loss is important to measure financial performance, the Company currently places an emphasis on cash burn and, more specifically, cash used in operations. Stock-based compensation appears in GAAP net loss but is removed from net loss to arrive at cash used in operations on the statement of cash flows. Due to its noncash nature, the Company believes these non-GAAP measures enhance understanding of financial performance, are more indicative of operational performance and facilitate a better comparison among fiscal periods. These non-GAAP financial measures are not, and should not be viewed as, substitutes for GAAP reporting measures.</w:t>
      </w:r>
      <w:r w:rsidRPr="00682D80">
        <w:rPr>
          <w:rFonts w:ascii="Times New Roman" w:eastAsia="Times New Roman" w:hAnsi="Times New Roman" w:cs="Times New Roman"/>
        </w:rPr>
        <w:t xml:space="preserve"> </w:t>
      </w:r>
    </w:p>
    <w:p w:rsidR="00AE23D0" w:rsidRDefault="004F3231">
      <w:pPr>
        <w:widowControl/>
        <w:spacing w:after="0" w:line="240" w:lineRule="auto"/>
        <w:jc w:val="both"/>
        <w:rPr>
          <w:rFonts w:ascii="Times New Roman" w:eastAsia="Times New Roman" w:hAnsi="Times New Roman" w:cs="Times New Roman"/>
        </w:rPr>
      </w:pPr>
    </w:p>
    <w:p w:rsidR="00AE23D0" w:rsidRPr="00682D80" w:rsidRDefault="00D5507E" w:rsidP="00AE23D0">
      <w:pPr>
        <w:widowControl/>
        <w:spacing w:after="0" w:line="240" w:lineRule="auto"/>
        <w:jc w:val="center"/>
        <w:rPr>
          <w:rFonts w:ascii="Times New Roman" w:eastAsia="Times New Roman" w:hAnsi="Times New Roman" w:cs="Times New Roman"/>
        </w:rPr>
      </w:pPr>
      <w:r w:rsidRPr="00D5507E">
        <w:rPr>
          <w:noProof/>
        </w:rPr>
        <w:drawing>
          <wp:inline distT="0" distB="0" distL="0" distR="0" wp14:anchorId="7B813F43" wp14:editId="2864D98A">
            <wp:extent cx="5943600" cy="53660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366087"/>
                    </a:xfrm>
                    <a:prstGeom prst="rect">
                      <a:avLst/>
                    </a:prstGeom>
                    <a:noFill/>
                    <a:ln>
                      <a:noFill/>
                    </a:ln>
                  </pic:spPr>
                </pic:pic>
              </a:graphicData>
            </a:graphic>
          </wp:inline>
        </w:drawing>
      </w:r>
    </w:p>
    <w:p w:rsidR="00064D97" w:rsidRDefault="004F3231">
      <w:pPr>
        <w:autoSpaceDE/>
        <w:autoSpaceDN/>
        <w:adjustRightInd/>
        <w:spacing w:after="0" w:line="240" w:lineRule="auto"/>
        <w:ind w:left="100" w:right="-20"/>
        <w:rPr>
          <w:rFonts w:ascii="Times New Roman" w:eastAsia="Times New Roman" w:hAnsi="Times New Roman" w:cs="Times New Roman"/>
          <w:b/>
        </w:rPr>
      </w:pPr>
    </w:p>
    <w:p w:rsidR="00064D97" w:rsidRDefault="004F3231">
      <w:pPr>
        <w:autoSpaceDE/>
        <w:autoSpaceDN/>
        <w:adjustRightInd/>
        <w:spacing w:after="0" w:line="240" w:lineRule="auto"/>
        <w:ind w:left="100" w:right="-20"/>
        <w:jc w:val="center"/>
        <w:rPr>
          <w:rFonts w:ascii="Times New Roman" w:eastAsia="Times New Roman" w:hAnsi="Times New Roman" w:cs="Times New Roman"/>
          <w:b/>
        </w:rPr>
      </w:pPr>
    </w:p>
    <w:sectPr w:rsidR="00064D97">
      <w:pgSz w:w="12240" w:h="15840"/>
      <w:pgMar w:top="1152" w:right="1440" w:bottom="1008" w:left="1440"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1B9F9560" w15:done="0"/>
  <w15:commentEx w15:paraId="42F6F28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F4F03"/>
    <w:multiLevelType w:val="hybridMultilevel"/>
    <w:tmpl w:val="70C6EC76"/>
    <w:lvl w:ilvl="0" w:tplc="B0F2B91E">
      <w:start w:val="1"/>
      <w:numFmt w:val="bullet"/>
      <w:lvlText w:val=""/>
      <w:lvlJc w:val="left"/>
      <w:pPr>
        <w:ind w:left="720" w:hanging="360"/>
      </w:pPr>
      <w:rPr>
        <w:rFonts w:ascii="Symbol" w:hAnsi="Symbol" w:hint="default"/>
      </w:rPr>
    </w:lvl>
    <w:lvl w:ilvl="1" w:tplc="587C0A1A" w:tentative="1">
      <w:start w:val="1"/>
      <w:numFmt w:val="bullet"/>
      <w:lvlText w:val="o"/>
      <w:lvlJc w:val="left"/>
      <w:pPr>
        <w:ind w:left="1440" w:hanging="360"/>
      </w:pPr>
      <w:rPr>
        <w:rFonts w:ascii="Courier New" w:hAnsi="Courier New" w:cs="Courier New" w:hint="default"/>
      </w:rPr>
    </w:lvl>
    <w:lvl w:ilvl="2" w:tplc="C67046CE" w:tentative="1">
      <w:start w:val="1"/>
      <w:numFmt w:val="bullet"/>
      <w:lvlText w:val=""/>
      <w:lvlJc w:val="left"/>
      <w:pPr>
        <w:ind w:left="2160" w:hanging="360"/>
      </w:pPr>
      <w:rPr>
        <w:rFonts w:ascii="Wingdings" w:hAnsi="Wingdings" w:hint="default"/>
      </w:rPr>
    </w:lvl>
    <w:lvl w:ilvl="3" w:tplc="986E46FC" w:tentative="1">
      <w:start w:val="1"/>
      <w:numFmt w:val="bullet"/>
      <w:lvlText w:val=""/>
      <w:lvlJc w:val="left"/>
      <w:pPr>
        <w:ind w:left="2880" w:hanging="360"/>
      </w:pPr>
      <w:rPr>
        <w:rFonts w:ascii="Symbol" w:hAnsi="Symbol" w:hint="default"/>
      </w:rPr>
    </w:lvl>
    <w:lvl w:ilvl="4" w:tplc="AF549A14" w:tentative="1">
      <w:start w:val="1"/>
      <w:numFmt w:val="bullet"/>
      <w:lvlText w:val="o"/>
      <w:lvlJc w:val="left"/>
      <w:pPr>
        <w:ind w:left="3600" w:hanging="360"/>
      </w:pPr>
      <w:rPr>
        <w:rFonts w:ascii="Courier New" w:hAnsi="Courier New" w:cs="Courier New" w:hint="default"/>
      </w:rPr>
    </w:lvl>
    <w:lvl w:ilvl="5" w:tplc="5A6ECAF2" w:tentative="1">
      <w:start w:val="1"/>
      <w:numFmt w:val="bullet"/>
      <w:lvlText w:val=""/>
      <w:lvlJc w:val="left"/>
      <w:pPr>
        <w:ind w:left="4320" w:hanging="360"/>
      </w:pPr>
      <w:rPr>
        <w:rFonts w:ascii="Wingdings" w:hAnsi="Wingdings" w:hint="default"/>
      </w:rPr>
    </w:lvl>
    <w:lvl w:ilvl="6" w:tplc="4120E810" w:tentative="1">
      <w:start w:val="1"/>
      <w:numFmt w:val="bullet"/>
      <w:lvlText w:val=""/>
      <w:lvlJc w:val="left"/>
      <w:pPr>
        <w:ind w:left="5040" w:hanging="360"/>
      </w:pPr>
      <w:rPr>
        <w:rFonts w:ascii="Symbol" w:hAnsi="Symbol" w:hint="default"/>
      </w:rPr>
    </w:lvl>
    <w:lvl w:ilvl="7" w:tplc="3124B1A2" w:tentative="1">
      <w:start w:val="1"/>
      <w:numFmt w:val="bullet"/>
      <w:lvlText w:val="o"/>
      <w:lvlJc w:val="left"/>
      <w:pPr>
        <w:ind w:left="5760" w:hanging="360"/>
      </w:pPr>
      <w:rPr>
        <w:rFonts w:ascii="Courier New" w:hAnsi="Courier New" w:cs="Courier New" w:hint="default"/>
      </w:rPr>
    </w:lvl>
    <w:lvl w:ilvl="8" w:tplc="200E0B6A" w:tentative="1">
      <w:start w:val="1"/>
      <w:numFmt w:val="bullet"/>
      <w:lvlText w:val=""/>
      <w:lvlJc w:val="left"/>
      <w:pPr>
        <w:ind w:left="6480" w:hanging="360"/>
      </w:pPr>
      <w:rPr>
        <w:rFonts w:ascii="Wingdings" w:hAnsi="Wingdings" w:hint="default"/>
      </w:rPr>
    </w:lvl>
  </w:abstractNum>
  <w:abstractNum w:abstractNumId="2">
    <w:nsid w:val="1293533B"/>
    <w:multiLevelType w:val="hybridMultilevel"/>
    <w:tmpl w:val="75A8467E"/>
    <w:lvl w:ilvl="0" w:tplc="EBC2F27A">
      <w:start w:val="1"/>
      <w:numFmt w:val="bullet"/>
      <w:lvlText w:val="•"/>
      <w:lvlJc w:val="left"/>
      <w:pPr>
        <w:tabs>
          <w:tab w:val="left" w:pos="720"/>
        </w:tabs>
        <w:ind w:left="720" w:hanging="360"/>
      </w:pPr>
      <w:rPr>
        <w:rFonts w:ascii="Arial" w:hAnsi="Arial"/>
        <w:strike w:val="0"/>
        <w:dstrike w:val="0"/>
      </w:rPr>
    </w:lvl>
    <w:lvl w:ilvl="1" w:tplc="F93E4170">
      <w:start w:val="1"/>
      <w:numFmt w:val="bullet"/>
      <w:lvlText w:val="•"/>
      <w:lvlJc w:val="left"/>
      <w:pPr>
        <w:tabs>
          <w:tab w:val="left" w:pos="1440"/>
        </w:tabs>
        <w:ind w:left="1440" w:hanging="360"/>
      </w:pPr>
      <w:rPr>
        <w:rFonts w:ascii="Arial" w:hAnsi="Arial"/>
        <w:strike w:val="0"/>
        <w:dstrike w:val="0"/>
      </w:rPr>
    </w:lvl>
    <w:lvl w:ilvl="2" w:tplc="B920B4E4">
      <w:start w:val="1"/>
      <w:numFmt w:val="bullet"/>
      <w:lvlText w:val="•"/>
      <w:lvlJc w:val="left"/>
      <w:pPr>
        <w:tabs>
          <w:tab w:val="left" w:pos="2160"/>
        </w:tabs>
        <w:ind w:left="2160" w:hanging="360"/>
      </w:pPr>
      <w:rPr>
        <w:rFonts w:ascii="Arial" w:hAnsi="Arial"/>
        <w:strike w:val="0"/>
        <w:dstrike w:val="0"/>
      </w:rPr>
    </w:lvl>
    <w:lvl w:ilvl="3" w:tplc="0AEA27A4">
      <w:start w:val="1"/>
      <w:numFmt w:val="bullet"/>
      <w:lvlText w:val="•"/>
      <w:lvlJc w:val="left"/>
      <w:pPr>
        <w:tabs>
          <w:tab w:val="left" w:pos="2880"/>
        </w:tabs>
        <w:ind w:left="2880" w:hanging="360"/>
      </w:pPr>
      <w:rPr>
        <w:rFonts w:ascii="Arial" w:hAnsi="Arial"/>
        <w:strike w:val="0"/>
        <w:dstrike w:val="0"/>
      </w:rPr>
    </w:lvl>
    <w:lvl w:ilvl="4" w:tplc="2D74452E">
      <w:start w:val="1"/>
      <w:numFmt w:val="bullet"/>
      <w:lvlText w:val="•"/>
      <w:lvlJc w:val="left"/>
      <w:pPr>
        <w:tabs>
          <w:tab w:val="left" w:pos="3600"/>
        </w:tabs>
        <w:ind w:left="3600" w:hanging="360"/>
      </w:pPr>
      <w:rPr>
        <w:rFonts w:ascii="Arial" w:hAnsi="Arial"/>
        <w:strike w:val="0"/>
        <w:dstrike w:val="0"/>
      </w:rPr>
    </w:lvl>
    <w:lvl w:ilvl="5" w:tplc="5EF425CC">
      <w:start w:val="1"/>
      <w:numFmt w:val="bullet"/>
      <w:lvlText w:val="•"/>
      <w:lvlJc w:val="left"/>
      <w:pPr>
        <w:tabs>
          <w:tab w:val="left" w:pos="4320"/>
        </w:tabs>
        <w:ind w:left="4320" w:hanging="360"/>
      </w:pPr>
      <w:rPr>
        <w:rFonts w:ascii="Arial" w:hAnsi="Arial"/>
        <w:strike w:val="0"/>
        <w:dstrike w:val="0"/>
      </w:rPr>
    </w:lvl>
    <w:lvl w:ilvl="6" w:tplc="5CCECD22">
      <w:start w:val="1"/>
      <w:numFmt w:val="bullet"/>
      <w:lvlText w:val="•"/>
      <w:lvlJc w:val="left"/>
      <w:pPr>
        <w:tabs>
          <w:tab w:val="left" w:pos="5040"/>
        </w:tabs>
        <w:ind w:left="5040" w:hanging="360"/>
      </w:pPr>
      <w:rPr>
        <w:rFonts w:ascii="Arial" w:hAnsi="Arial"/>
        <w:strike w:val="0"/>
        <w:dstrike w:val="0"/>
      </w:rPr>
    </w:lvl>
    <w:lvl w:ilvl="7" w:tplc="3B9C1862">
      <w:start w:val="1"/>
      <w:numFmt w:val="bullet"/>
      <w:lvlText w:val="•"/>
      <w:lvlJc w:val="left"/>
      <w:pPr>
        <w:tabs>
          <w:tab w:val="left" w:pos="5760"/>
        </w:tabs>
        <w:ind w:left="5760" w:hanging="360"/>
      </w:pPr>
      <w:rPr>
        <w:rFonts w:ascii="Arial" w:hAnsi="Arial"/>
        <w:strike w:val="0"/>
        <w:dstrike w:val="0"/>
      </w:rPr>
    </w:lvl>
    <w:lvl w:ilvl="8" w:tplc="A50E79D8">
      <w:start w:val="1"/>
      <w:numFmt w:val="bullet"/>
      <w:lvlText w:val="•"/>
      <w:lvlJc w:val="left"/>
      <w:pPr>
        <w:tabs>
          <w:tab w:val="left" w:pos="6480"/>
        </w:tabs>
        <w:ind w:left="6480" w:hanging="360"/>
      </w:pPr>
      <w:rPr>
        <w:rFonts w:ascii="Arial" w:hAnsi="Arial"/>
        <w:strike w:val="0"/>
        <w:dstrike w:val="0"/>
      </w:rPr>
    </w:lvl>
  </w:abstractNum>
  <w:abstractNum w:abstractNumId="3">
    <w:nsid w:val="36B463BD"/>
    <w:multiLevelType w:val="hybridMultilevel"/>
    <w:tmpl w:val="6F3269A2"/>
    <w:lvl w:ilvl="0" w:tplc="3FFC10EC">
      <w:start w:val="1"/>
      <w:numFmt w:val="bullet"/>
      <w:lvlText w:val=""/>
      <w:lvlJc w:val="left"/>
      <w:pPr>
        <w:ind w:left="720" w:hanging="360"/>
      </w:pPr>
      <w:rPr>
        <w:rFonts w:ascii="Symbol" w:hAnsi="Symbol" w:hint="default"/>
      </w:rPr>
    </w:lvl>
    <w:lvl w:ilvl="1" w:tplc="B09A9072" w:tentative="1">
      <w:start w:val="1"/>
      <w:numFmt w:val="lowerLetter"/>
      <w:lvlText w:val="%2."/>
      <w:lvlJc w:val="left"/>
      <w:pPr>
        <w:ind w:left="1440" w:hanging="360"/>
      </w:pPr>
    </w:lvl>
    <w:lvl w:ilvl="2" w:tplc="EB3C126C" w:tentative="1">
      <w:start w:val="1"/>
      <w:numFmt w:val="lowerRoman"/>
      <w:lvlText w:val="%3."/>
      <w:lvlJc w:val="right"/>
      <w:pPr>
        <w:ind w:left="2160" w:hanging="180"/>
      </w:pPr>
    </w:lvl>
    <w:lvl w:ilvl="3" w:tplc="10EEEEBE" w:tentative="1">
      <w:start w:val="1"/>
      <w:numFmt w:val="decimal"/>
      <w:lvlText w:val="%4."/>
      <w:lvlJc w:val="left"/>
      <w:pPr>
        <w:ind w:left="2880" w:hanging="360"/>
      </w:pPr>
    </w:lvl>
    <w:lvl w:ilvl="4" w:tplc="6CCAFEBE" w:tentative="1">
      <w:start w:val="1"/>
      <w:numFmt w:val="lowerLetter"/>
      <w:lvlText w:val="%5."/>
      <w:lvlJc w:val="left"/>
      <w:pPr>
        <w:ind w:left="3600" w:hanging="360"/>
      </w:pPr>
    </w:lvl>
    <w:lvl w:ilvl="5" w:tplc="77EE4AE6" w:tentative="1">
      <w:start w:val="1"/>
      <w:numFmt w:val="lowerRoman"/>
      <w:lvlText w:val="%6."/>
      <w:lvlJc w:val="right"/>
      <w:pPr>
        <w:ind w:left="4320" w:hanging="180"/>
      </w:pPr>
    </w:lvl>
    <w:lvl w:ilvl="6" w:tplc="BC687BA6" w:tentative="1">
      <w:start w:val="1"/>
      <w:numFmt w:val="decimal"/>
      <w:lvlText w:val="%7."/>
      <w:lvlJc w:val="left"/>
      <w:pPr>
        <w:ind w:left="5040" w:hanging="360"/>
      </w:pPr>
    </w:lvl>
    <w:lvl w:ilvl="7" w:tplc="118A1FD0" w:tentative="1">
      <w:start w:val="1"/>
      <w:numFmt w:val="lowerLetter"/>
      <w:lvlText w:val="%8."/>
      <w:lvlJc w:val="left"/>
      <w:pPr>
        <w:ind w:left="5760" w:hanging="360"/>
      </w:pPr>
    </w:lvl>
    <w:lvl w:ilvl="8" w:tplc="BE66EAEC" w:tentative="1">
      <w:start w:val="1"/>
      <w:numFmt w:val="lowerRoman"/>
      <w:lvlText w:val="%9."/>
      <w:lvlJc w:val="right"/>
      <w:pPr>
        <w:ind w:left="6480" w:hanging="180"/>
      </w:pPr>
    </w:lvl>
  </w:abstractNum>
  <w:abstractNum w:abstractNumId="4">
    <w:nsid w:val="418670C9"/>
    <w:multiLevelType w:val="hybridMultilevel"/>
    <w:tmpl w:val="E4A66DF0"/>
    <w:lvl w:ilvl="0" w:tplc="93580898">
      <w:start w:val="1"/>
      <w:numFmt w:val="bullet"/>
      <w:lvlText w:val=""/>
      <w:lvlJc w:val="left"/>
      <w:pPr>
        <w:ind w:left="720" w:hanging="360"/>
      </w:pPr>
      <w:rPr>
        <w:rFonts w:ascii="Symbol" w:hAnsi="Symbol" w:hint="default"/>
      </w:rPr>
    </w:lvl>
    <w:lvl w:ilvl="1" w:tplc="108AC9E2">
      <w:start w:val="1"/>
      <w:numFmt w:val="bullet"/>
      <w:lvlText w:val="o"/>
      <w:lvlJc w:val="left"/>
      <w:pPr>
        <w:ind w:left="1440" w:hanging="360"/>
      </w:pPr>
      <w:rPr>
        <w:rFonts w:ascii="Courier New" w:hAnsi="Courier New" w:cs="Courier New" w:hint="default"/>
      </w:rPr>
    </w:lvl>
    <w:lvl w:ilvl="2" w:tplc="8FB46C74">
      <w:start w:val="1"/>
      <w:numFmt w:val="bullet"/>
      <w:lvlText w:val=""/>
      <w:lvlJc w:val="left"/>
      <w:pPr>
        <w:ind w:left="2160" w:hanging="360"/>
      </w:pPr>
      <w:rPr>
        <w:rFonts w:ascii="Wingdings" w:hAnsi="Wingdings" w:hint="default"/>
      </w:rPr>
    </w:lvl>
    <w:lvl w:ilvl="3" w:tplc="F500A0D4">
      <w:start w:val="1"/>
      <w:numFmt w:val="bullet"/>
      <w:lvlText w:val=""/>
      <w:lvlJc w:val="left"/>
      <w:pPr>
        <w:ind w:left="2880" w:hanging="360"/>
      </w:pPr>
      <w:rPr>
        <w:rFonts w:ascii="Symbol" w:hAnsi="Symbol" w:hint="default"/>
      </w:rPr>
    </w:lvl>
    <w:lvl w:ilvl="4" w:tplc="7BDC19CC">
      <w:start w:val="1"/>
      <w:numFmt w:val="bullet"/>
      <w:lvlText w:val="o"/>
      <w:lvlJc w:val="left"/>
      <w:pPr>
        <w:ind w:left="3600" w:hanging="360"/>
      </w:pPr>
      <w:rPr>
        <w:rFonts w:ascii="Courier New" w:hAnsi="Courier New" w:cs="Courier New" w:hint="default"/>
      </w:rPr>
    </w:lvl>
    <w:lvl w:ilvl="5" w:tplc="29981C02">
      <w:start w:val="1"/>
      <w:numFmt w:val="bullet"/>
      <w:lvlText w:val=""/>
      <w:lvlJc w:val="left"/>
      <w:pPr>
        <w:ind w:left="4320" w:hanging="360"/>
      </w:pPr>
      <w:rPr>
        <w:rFonts w:ascii="Wingdings" w:hAnsi="Wingdings" w:hint="default"/>
      </w:rPr>
    </w:lvl>
    <w:lvl w:ilvl="6" w:tplc="E90ADB86">
      <w:start w:val="1"/>
      <w:numFmt w:val="bullet"/>
      <w:lvlText w:val=""/>
      <w:lvlJc w:val="left"/>
      <w:pPr>
        <w:ind w:left="5040" w:hanging="360"/>
      </w:pPr>
      <w:rPr>
        <w:rFonts w:ascii="Symbol" w:hAnsi="Symbol" w:hint="default"/>
      </w:rPr>
    </w:lvl>
    <w:lvl w:ilvl="7" w:tplc="529219BE">
      <w:start w:val="1"/>
      <w:numFmt w:val="bullet"/>
      <w:lvlText w:val="o"/>
      <w:lvlJc w:val="left"/>
      <w:pPr>
        <w:ind w:left="5760" w:hanging="360"/>
      </w:pPr>
      <w:rPr>
        <w:rFonts w:ascii="Courier New" w:hAnsi="Courier New" w:cs="Courier New" w:hint="default"/>
      </w:rPr>
    </w:lvl>
    <w:lvl w:ilvl="8" w:tplc="FBD6C55C">
      <w:start w:val="1"/>
      <w:numFmt w:val="bullet"/>
      <w:lvlText w:val=""/>
      <w:lvlJc w:val="left"/>
      <w:pPr>
        <w:ind w:left="6480" w:hanging="360"/>
      </w:pPr>
      <w:rPr>
        <w:rFonts w:ascii="Wingdings" w:hAnsi="Wingdings" w:hint="default"/>
      </w:rPr>
    </w:lvl>
  </w:abstractNum>
  <w:abstractNum w:abstractNumId="5">
    <w:nsid w:val="5F586C63"/>
    <w:multiLevelType w:val="hybridMultilevel"/>
    <w:tmpl w:val="D6F63E02"/>
    <w:lvl w:ilvl="0" w:tplc="5C1C10A4">
      <w:start w:val="1"/>
      <w:numFmt w:val="bullet"/>
      <w:lvlText w:val=""/>
      <w:lvlJc w:val="left"/>
      <w:pPr>
        <w:ind w:left="720" w:hanging="360"/>
      </w:pPr>
      <w:rPr>
        <w:rFonts w:ascii="Symbol" w:hAnsi="Symbol" w:hint="default"/>
      </w:rPr>
    </w:lvl>
    <w:lvl w:ilvl="1" w:tplc="E250B3D0">
      <w:start w:val="1"/>
      <w:numFmt w:val="bullet"/>
      <w:lvlText w:val="o"/>
      <w:lvlJc w:val="left"/>
      <w:pPr>
        <w:ind w:left="1440" w:hanging="360"/>
      </w:pPr>
      <w:rPr>
        <w:rFonts w:ascii="Courier New" w:hAnsi="Courier New" w:cs="Courier New" w:hint="default"/>
      </w:rPr>
    </w:lvl>
    <w:lvl w:ilvl="2" w:tplc="B37ACE7C">
      <w:start w:val="1"/>
      <w:numFmt w:val="bullet"/>
      <w:lvlText w:val=""/>
      <w:lvlJc w:val="left"/>
      <w:pPr>
        <w:ind w:left="2160" w:hanging="360"/>
      </w:pPr>
      <w:rPr>
        <w:rFonts w:ascii="Wingdings" w:hAnsi="Wingdings" w:hint="default"/>
      </w:rPr>
    </w:lvl>
    <w:lvl w:ilvl="3" w:tplc="E1701E3E">
      <w:start w:val="1"/>
      <w:numFmt w:val="bullet"/>
      <w:lvlText w:val=""/>
      <w:lvlJc w:val="left"/>
      <w:pPr>
        <w:ind w:left="2880" w:hanging="360"/>
      </w:pPr>
      <w:rPr>
        <w:rFonts w:ascii="Symbol" w:hAnsi="Symbol" w:hint="default"/>
      </w:rPr>
    </w:lvl>
    <w:lvl w:ilvl="4" w:tplc="AE2A21A6">
      <w:start w:val="1"/>
      <w:numFmt w:val="bullet"/>
      <w:lvlText w:val="o"/>
      <w:lvlJc w:val="left"/>
      <w:pPr>
        <w:ind w:left="3600" w:hanging="360"/>
      </w:pPr>
      <w:rPr>
        <w:rFonts w:ascii="Courier New" w:hAnsi="Courier New" w:cs="Courier New" w:hint="default"/>
      </w:rPr>
    </w:lvl>
    <w:lvl w:ilvl="5" w:tplc="4F725C2E">
      <w:start w:val="1"/>
      <w:numFmt w:val="bullet"/>
      <w:lvlText w:val=""/>
      <w:lvlJc w:val="left"/>
      <w:pPr>
        <w:ind w:left="4320" w:hanging="360"/>
      </w:pPr>
      <w:rPr>
        <w:rFonts w:ascii="Wingdings" w:hAnsi="Wingdings" w:hint="default"/>
      </w:rPr>
    </w:lvl>
    <w:lvl w:ilvl="6" w:tplc="ABC6369E">
      <w:start w:val="1"/>
      <w:numFmt w:val="bullet"/>
      <w:lvlText w:val=""/>
      <w:lvlJc w:val="left"/>
      <w:pPr>
        <w:ind w:left="5040" w:hanging="360"/>
      </w:pPr>
      <w:rPr>
        <w:rFonts w:ascii="Symbol" w:hAnsi="Symbol" w:hint="default"/>
      </w:rPr>
    </w:lvl>
    <w:lvl w:ilvl="7" w:tplc="B900D588">
      <w:start w:val="1"/>
      <w:numFmt w:val="bullet"/>
      <w:lvlText w:val="o"/>
      <w:lvlJc w:val="left"/>
      <w:pPr>
        <w:ind w:left="5760" w:hanging="360"/>
      </w:pPr>
      <w:rPr>
        <w:rFonts w:ascii="Courier New" w:hAnsi="Courier New" w:cs="Courier New" w:hint="default"/>
      </w:rPr>
    </w:lvl>
    <w:lvl w:ilvl="8" w:tplc="6B6A5144">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doNotTrackFormatting/>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86"/>
    <w:rsid w:val="000861D9"/>
    <w:rsid w:val="00103495"/>
    <w:rsid w:val="00104D2D"/>
    <w:rsid w:val="00271AEE"/>
    <w:rsid w:val="002F144E"/>
    <w:rsid w:val="00326CA5"/>
    <w:rsid w:val="00493386"/>
    <w:rsid w:val="00544E7B"/>
    <w:rsid w:val="006010C2"/>
    <w:rsid w:val="006044A5"/>
    <w:rsid w:val="008F48A2"/>
    <w:rsid w:val="00926422"/>
    <w:rsid w:val="009E7F66"/>
    <w:rsid w:val="00B150E6"/>
    <w:rsid w:val="00D5507E"/>
    <w:rsid w:val="00F27661"/>
    <w:rsid w:val="00F51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autoSpaceDE/>
      <w:autoSpaceDN/>
      <w:adjustRightInd/>
      <w:spacing w:after="160" w:line="259" w:lineRule="auto"/>
      <w:ind w:left="720"/>
      <w:contextualSpacing/>
    </w:pPr>
    <w:rPr>
      <w:rFonts w:asciiTheme="minorHAnsi" w:eastAsiaTheme="minorEastAsia" w:hAnsiTheme="minorHAnsi" w:cstheme="minorBidi"/>
      <w:lang w:eastAsia="zh-TW"/>
    </w:rPr>
  </w:style>
  <w:style w:type="character" w:customStyle="1" w:styleId="UnresolvedMention">
    <w:name w:val="Unresolved Mention"/>
    <w:basedOn w:val="DefaultParagraphFont"/>
    <w:uiPriority w:val="99"/>
    <w:semiHidden/>
    <w:unhideWhenUse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autoSpaceDE/>
      <w:autoSpaceDN/>
      <w:adjustRightInd/>
      <w:spacing w:after="160" w:line="259" w:lineRule="auto"/>
      <w:ind w:left="720"/>
      <w:contextualSpacing/>
    </w:pPr>
    <w:rPr>
      <w:rFonts w:asciiTheme="minorHAnsi" w:eastAsiaTheme="minorEastAsia" w:hAnsiTheme="minorHAnsi" w:cstheme="minorBidi"/>
      <w:lang w:eastAsia="zh-TW"/>
    </w:rPr>
  </w:style>
  <w:style w:type="character" w:customStyle="1"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abiotechnology.com"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hyperlink" Target="http://www.pumabiotechnology.com/" TargetMode="External"/><Relationship Id="rId12" Type="http://schemas.openxmlformats.org/officeDocument/2006/relationships/hyperlink" Target="mailto:david.schull@russopartnersllc.com" TargetMode="Externa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r@pumabiotechnolog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pumabiotechnology.com" TargetMode="External"/><Relationship Id="rId4" Type="http://schemas.openxmlformats.org/officeDocument/2006/relationships/settings" Target="settings.xml"/><Relationship Id="rId9" Type="http://schemas.openxmlformats.org/officeDocument/2006/relationships/hyperlink" Target="https://nerlynx.com/pdf/full-prescribing-information.pdf"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1957</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2018-05-08T21:08:00Z</dcterms:created>
  <dcterms:modified xsi:type="dcterms:W3CDTF">2018-05-09T19:19:00Z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{REF:0486232017}</vt:lpwstr>
  </property>
</Properties>
</file>